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ascii="仿宋_GB2312" w:hAnsi="宋体" w:eastAsia="仿宋_GB2312" w:cs="宋体"/>
          <w:kern w:val="0"/>
          <w:szCs w:val="32"/>
        </w:rPr>
      </w:pPr>
    </w:p>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襄汾县财政局2022年度单位预算公开</w:t>
      </w: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一、本单位职责</w:t>
      </w:r>
    </w:p>
    <w:p>
      <w:pPr>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一）拟订全县财税发展规划、政策和改革方案并组织实施。分析预测全县宏观经济形势，参与制定全县宏观经济政策，提出运用财税政策实施宏观调控和综合平衡社会财力的建议。拟订县级预算单位和县级企业的分配政策，完善鼓励公益事业发展的财税政策。</w:t>
      </w:r>
    </w:p>
    <w:p>
      <w:pPr>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（二）起草财政、财务、会计管理制度、办法，并监督执行。</w:t>
      </w:r>
    </w:p>
    <w:p>
      <w:pPr>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三）负责管理全县各项财政收支。编制县本级年度预决算草案并组织执行。组织制定经费开支标准、定额，审核批复部门(单位)年度预决算。受县人民政府委托，向县人民代表大会及其常委会报告县级财政预算、执行和决算等情况。负责政府投资基金县财政出资的资产管理。负责县级预决算公开。</w:t>
      </w:r>
    </w:p>
    <w:p>
      <w:pPr>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（四）研究提出地方税收实施办法和税收政策的调整建议。</w:t>
      </w:r>
    </w:p>
    <w:p>
      <w:pPr>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（五）按分工负责政府非税收入管理。负责政府性基金管理，按规定管理行政事业性收费。管理财政票据。执行中央、省、市彩票管理制度和有关办法，监管彩票市场，按规定管理彩票资金。</w:t>
      </w:r>
    </w:p>
    <w:p>
      <w:pPr>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六）组织制定国库管理制度、国库集中收付制度，指导和监督全县国库业务，开展地方国库现金管理工作。制定政府财务报告编制办法并组织实施。负责制定全县政府采购制度并监督管理，编制县级政府采购预算。</w:t>
      </w:r>
    </w:p>
    <w:p>
      <w:pPr>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（七）管理全县地方政府性债务，拟订地方政府性债务管理制度和办法。做好债务规模控制、债券发行、预算管理、统计分析和风险监控等工作。负责地方政府内债会计核算工作。</w:t>
      </w:r>
    </w:p>
    <w:p>
      <w:pPr>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（八）负责全县行政事业单位国有资产综合监督工作。牵头编制国有资产管理情况报告。依据县人民政府授权，集中统一履行县属国有金融资本出资人职责。拟</w:t>
      </w:r>
      <w:r>
        <w:rPr>
          <w:rFonts w:hint="eastAsia" w:ascii="仿宋_GB2312" w:hAnsi="仿宋" w:eastAsia="仿宋_GB2312" w:cs="仿宋"/>
          <w:color w:val="000000"/>
          <w:sz w:val="32"/>
          <w:szCs w:val="32"/>
        </w:rPr>
        <w:t>订</w:t>
      </w:r>
      <w:r>
        <w:rPr>
          <w:rFonts w:hint="eastAsia" w:ascii="仿宋_GB2312" w:hAnsi="仿宋" w:eastAsia="仿宋_GB2312" w:cs="仿宋"/>
          <w:sz w:val="32"/>
          <w:szCs w:val="32"/>
        </w:rPr>
        <w:t>全县行政事业单位国有资产管理规章制度，并负责组织实施和监督检查。推行全县行政事业单位经营性国有资产集中统一监管工作。承担资产评估管理有关工作。</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（九）负责审核并汇总编制全县国有资本经营预决算草案，制定全县国有资本经营预算的制度和办法，收取县级企业国有资本收益。负责制定并组织实施企业财务制度。</w:t>
      </w:r>
    </w:p>
    <w:p>
      <w:pPr>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（十）负责审核并汇总编制县本级社会保险基金预决算草案，会同有关部门拟订有关资金(基金)财务管理制度，承担社会保险基金财政监管工作。</w:t>
      </w:r>
    </w:p>
    <w:p>
      <w:pPr>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（十一）负责办理和监督县级财政的经济发展支出、县级政府性投资项目的财政拨款，参与拟订全县建设投资有关政策，制定基建财务管理制度。</w:t>
      </w:r>
    </w:p>
    <w:p>
      <w:pPr>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（十二）负责管理外国政府贷（赠）款和全县利用国际金融组织贷（赠）款工作。参与相关对外谈判工作。</w:t>
      </w:r>
    </w:p>
    <w:p>
      <w:pPr>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（十三）负责管理全县会计工作，监督和规范会计行为，拟</w:t>
      </w:r>
      <w:r>
        <w:rPr>
          <w:rFonts w:hint="eastAsia" w:ascii="仿宋_GB2312" w:hAnsi="仿宋" w:eastAsia="仿宋_GB2312" w:cs="仿宋"/>
          <w:color w:val="000000"/>
          <w:sz w:val="32"/>
          <w:szCs w:val="32"/>
        </w:rPr>
        <w:t>订</w:t>
      </w:r>
      <w:r>
        <w:rPr>
          <w:rFonts w:hint="eastAsia" w:ascii="仿宋_GB2312" w:hAnsi="仿宋" w:eastAsia="仿宋_GB2312" w:cs="仿宋"/>
          <w:sz w:val="32"/>
          <w:szCs w:val="32"/>
        </w:rPr>
        <w:t>全县会计管理工作的规章草案、制定及补充规定，指导和监督全县注册会计师和会计事务所的业务，指导和管理社会审计。</w:t>
      </w:r>
    </w:p>
    <w:p>
      <w:pPr>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（十四）完成县委、县政府交办的其他任务。</w:t>
      </w:r>
    </w:p>
    <w:p>
      <w:pPr>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（十五）职能转变</w:t>
      </w:r>
    </w:p>
    <w:p>
      <w:pPr>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1.完善宏观调控体系，分析预测全县宏观经济形势，参与制定全县宏观经济政策，围绕县委、县政府中心工作提出运用财税政策实施宏观调控、综合平衡社会财力、改进和完善政府管理、提高资金使用效益的建议。</w:t>
      </w:r>
    </w:p>
    <w:p>
      <w:pPr>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2.深化财税体制改革。推进财政事权和支出责任划分改革，完善转移支付制度，增强财政统筹能力。全面实施绩效管理，完善监督制度，强化财政资金的事中、事后监管。建立全面规范透明、标准科学、约束有力的预算制度。</w:t>
      </w:r>
    </w:p>
    <w:p>
      <w:pPr>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3.防范化解地方政府债务风险。依法规范政府债务管理，严控政府债务风险，着力防控隐性债务风险，牢牢守住不发生系统性风险的底线。</w:t>
      </w:r>
    </w:p>
    <w:p>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4.完善县属国有金融资本管理体制。依据县人民政府授权集中统一管理县属国有金融资本，依法履行县属国有金融资本出资人职责。</w:t>
      </w:r>
    </w:p>
    <w:p>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(十六)有关职责分工。</w:t>
      </w:r>
    </w:p>
    <w:p>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1.与县直属机关事务服务中心在行政事业单位公务用车管理方面的职责分工。</w:t>
      </w:r>
    </w:p>
    <w:p>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县直属机关事务服务中心是全县公务用车主管部门，公务用车具体管理工作由县直属机关事务服务中心、县财政局等部门按照中央、省、市、县有关规定执行。</w:t>
      </w:r>
    </w:p>
    <w:p>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2.与县直属机关事务服务中心在行政事业单位国有资产管理方面的职责分工。</w:t>
      </w:r>
    </w:p>
    <w:p>
      <w:pPr>
        <w:widowControl/>
        <w:spacing w:line="560" w:lineRule="exact"/>
        <w:ind w:firstLine="640"/>
        <w:rPr>
          <w:rFonts w:ascii="仿宋_GB2312" w:hAnsi="楷体" w:eastAsia="仿宋_GB2312"/>
          <w:kern w:val="0"/>
          <w:sz w:val="32"/>
          <w:szCs w:val="32"/>
        </w:rPr>
      </w:pPr>
      <w:r>
        <w:rPr>
          <w:rFonts w:hint="eastAsia" w:ascii="仿宋_GB2312" w:hAnsi="仿宋" w:eastAsia="仿宋_GB2312" w:cs="仿宋"/>
          <w:color w:val="000000"/>
          <w:sz w:val="32"/>
          <w:szCs w:val="32"/>
        </w:rPr>
        <w:t>县财政局负责制定全县行政事业单位国有资产管理规章制度，并负责组织实施和监督检查，推进全县行政事业单位经营性国有资产集中统一监管工作。县直属机关事务服务中心负责全县行政事业单位的国有资产管理，承担产权界定、清查登记、资产处置工作，制定全县行政事业单位国有资产管理具体制度和办法并组织实施。接受县财政局的指导和监督检查。</w:t>
      </w:r>
    </w:p>
    <w:p>
      <w:pPr>
        <w:widowControl/>
        <w:numPr>
          <w:ilvl w:val="0"/>
          <w:numId w:val="1"/>
        </w:numPr>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单位机构设置及预算单位构成情况</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根据单位职责分工，本单位内设机构包括</w:t>
      </w:r>
      <w:r>
        <w:rPr>
          <w:rFonts w:hint="eastAsia" w:ascii="仿宋_GB2312" w:hAnsi="仿宋" w:eastAsia="仿宋_GB2312" w:cs="仿宋"/>
          <w:bCs/>
          <w:sz w:val="32"/>
          <w:szCs w:val="32"/>
        </w:rPr>
        <w:t>办公室、预算股、国库股、经济建设股、行政政法股、教科文股、社会保障监督检查股、法规税政农业股、政府采购国有资产管理股、地方金融股、会计管理综合股</w:t>
      </w:r>
      <w:r>
        <w:rPr>
          <w:rFonts w:hint="eastAsia" w:ascii="仿宋_GB2312" w:hAnsi="楷体" w:eastAsia="仿宋_GB2312"/>
          <w:kern w:val="0"/>
          <w:sz w:val="32"/>
          <w:szCs w:val="32"/>
        </w:rPr>
        <w:t>。本单位下属事业单位包括：财政金融合作发展中心、国库支付中心、财政投资评审中心。</w:t>
      </w:r>
    </w:p>
    <w:p>
      <w:pPr>
        <w:widowControl/>
        <w:numPr>
          <w:ilvl w:val="0"/>
          <w:numId w:val="1"/>
        </w:numPr>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2022 年主要工作任务及目标</w:t>
      </w:r>
    </w:p>
    <w:p>
      <w:pPr>
        <w:widowControl/>
        <w:spacing w:line="560" w:lineRule="exact"/>
        <w:ind w:left="640"/>
        <w:rPr>
          <w:rFonts w:ascii="仿宋_GB2312" w:hAnsi="楷体" w:eastAsia="仿宋_GB2312"/>
          <w:kern w:val="0"/>
          <w:sz w:val="32"/>
          <w:szCs w:val="32"/>
        </w:rPr>
      </w:pPr>
    </w:p>
    <w:p>
      <w:pPr>
        <w:widowControl/>
        <w:spacing w:line="560" w:lineRule="exact"/>
        <w:ind w:firstLine="636"/>
        <w:rPr>
          <w:rFonts w:ascii="仿宋_GB2312" w:hAnsi="楷体" w:eastAsia="仿宋_GB2312"/>
          <w:kern w:val="0"/>
          <w:sz w:val="32"/>
          <w:szCs w:val="32"/>
        </w:rPr>
      </w:pPr>
      <w:r>
        <w:rPr>
          <w:rFonts w:hint="eastAsia" w:ascii="仿宋" w:hAnsi="仿宋" w:eastAsia="仿宋" w:cs="仿宋"/>
          <w:sz w:val="32"/>
          <w:szCs w:val="32"/>
        </w:rPr>
        <w:t>2022年全县一般公共预算收入预期目标为9.8513亿元，比上年增长9.5%。</w:t>
      </w:r>
    </w:p>
    <w:p>
      <w:pPr>
        <w:ind w:firstLine="640" w:firstLineChars="200"/>
        <w:rPr>
          <w:rFonts w:ascii="仿宋" w:hAnsi="仿宋" w:eastAsia="仿宋" w:cs="仿宋"/>
          <w:sz w:val="32"/>
          <w:szCs w:val="32"/>
        </w:rPr>
      </w:pPr>
      <w:r>
        <w:rPr>
          <w:rFonts w:hint="eastAsia" w:ascii="仿宋" w:hAnsi="仿宋" w:eastAsia="仿宋" w:cs="仿宋"/>
          <w:sz w:val="32"/>
          <w:szCs w:val="32"/>
        </w:rPr>
        <w:t>围绕上述目标，今年我们将重点做好以下几方面工作：</w:t>
      </w:r>
    </w:p>
    <w:p>
      <w:pPr>
        <w:ind w:firstLine="640" w:firstLineChars="200"/>
        <w:rPr>
          <w:rFonts w:ascii="仿宋" w:hAnsi="仿宋" w:eastAsia="仿宋" w:cs="仿宋"/>
          <w:sz w:val="32"/>
          <w:szCs w:val="32"/>
        </w:rPr>
      </w:pPr>
      <w:r>
        <w:rPr>
          <w:rFonts w:hint="eastAsia" w:ascii="仿宋" w:hAnsi="仿宋" w:eastAsia="仿宋" w:cs="仿宋"/>
          <w:sz w:val="32"/>
          <w:szCs w:val="32"/>
        </w:rPr>
        <w:t>（一）夯实基础，培植财源，在“收”字上下功夫</w:t>
      </w:r>
    </w:p>
    <w:p>
      <w:pPr>
        <w:ind w:firstLine="640" w:firstLineChars="200"/>
        <w:rPr>
          <w:rFonts w:ascii="仿宋" w:hAnsi="仿宋" w:eastAsia="仿宋" w:cs="仿宋"/>
          <w:sz w:val="32"/>
          <w:szCs w:val="32"/>
        </w:rPr>
      </w:pPr>
      <w:r>
        <w:rPr>
          <w:rFonts w:hint="eastAsia" w:ascii="仿宋" w:hAnsi="仿宋" w:eastAsia="仿宋" w:cs="仿宋"/>
          <w:sz w:val="32"/>
          <w:szCs w:val="32"/>
        </w:rPr>
        <w:t>进一步转变理念，创新思路，把加快发展的着力点放在组织收入和培植财源相结合上：一要挖潜增收。搞好收入分析预测，加强财税部门的分工协作，实行目标责任管理，保证各项税收及时足额入库；加大对零散税种的征收力度，增加县级可用财力；抓好非税收入的征管，加强“收支两条线”管理，确保财政性资金“颗粒归仓”。二要积极向上争取。紧盯中央和省市重大决策部署，找准与我县发展的结合点，主动向上级反映我县的诉求和需要，努力争取上级财政对我县的政策和资金支持，缓解财政困难。三要努力培植新财源。充分发挥财政政策、资金的杠杆作用，利用好各种国家政策资源，重点支持已有产业集群，做大做强基础财源；引导传统支柱产业转型升级，支持有竞争优势和具备创新能力的中小企业做大做强；同时，强化税收贡献导向，支持项目库建设，开发储备一批符合国家产业政策的重大项目，培育新的税收增长点，为襄汾经济可持续发展奠定坚实基础。四要创新财政支持转型升级新思路。充分借助市场机制作用，创新财政资金投入方式，对于能够发挥市场作用、吸引社会资源参与的领域，根据市场经济规律和公共财政原则，采取市场化的方法，撬动社会资源，放大财政资金使用效益。五要用活债券资金。优化债券投向结构，加大对重点领域和薄弱环节支持力度，提高债券资金使用效率效益，尽快形成对经济的有效拉动。</w:t>
      </w:r>
    </w:p>
    <w:p>
      <w:pPr>
        <w:ind w:firstLine="640" w:firstLineChars="200"/>
        <w:rPr>
          <w:rFonts w:ascii="仿宋" w:hAnsi="仿宋" w:eastAsia="仿宋" w:cs="仿宋"/>
          <w:sz w:val="32"/>
          <w:szCs w:val="32"/>
        </w:rPr>
      </w:pPr>
      <w:r>
        <w:rPr>
          <w:rFonts w:hint="eastAsia" w:ascii="仿宋" w:hAnsi="仿宋" w:eastAsia="仿宋" w:cs="仿宋"/>
          <w:sz w:val="32"/>
          <w:szCs w:val="32"/>
        </w:rPr>
        <w:t>（二）调整结构，保障重点，在“支”字上有实效</w:t>
      </w:r>
    </w:p>
    <w:p>
      <w:pPr>
        <w:ind w:firstLine="640" w:firstLineChars="200"/>
        <w:rPr>
          <w:rFonts w:ascii="仿宋" w:hAnsi="仿宋" w:eastAsia="仿宋" w:cs="仿宋"/>
          <w:sz w:val="32"/>
          <w:szCs w:val="32"/>
        </w:rPr>
      </w:pPr>
      <w:r>
        <w:rPr>
          <w:rFonts w:hint="eastAsia" w:ascii="仿宋" w:hAnsi="仿宋" w:eastAsia="仿宋" w:cs="仿宋"/>
          <w:sz w:val="32"/>
          <w:szCs w:val="32"/>
        </w:rPr>
        <w:t>将保障改善民生与支持转型发展相结合，坚持“守住底线、突出重点”的思路，把工作着力点放在研究解决人民群众最关心、最直接、最现实的民生问题上，放在研究解决加快转型升级的重大问题上，既讲“财力”，更讲“心力”，既要算好“民生账”，更要算好“民心账”。一是厉行勤俭节约。坚持党政机关过紧日子要求，大力压减一般性支出及非刚性、非急需项目支出,腾出更多资金，重点保障“六稳”“六保”“六新”资金需求及县委、县政府确定的基础设施、产业转型、科技创新、民生保障等领域重点项目支出。二是健全完善社会保障体系。继续落实好各项社保资金、低保保障、城乡居民基本医疗保险人均财政补助等资金发放，全力推进灾后恢复重建，健全多层次社会保障体系。三是全面推进乡村振兴惠三农。支持农业农村优先发展，巩固拓展脱贫攻坚成果</w:t>
      </w:r>
      <w:r>
        <w:rPr>
          <w:rFonts w:hint="eastAsia" w:ascii="仿宋" w:hAnsi="仿宋" w:eastAsia="仿宋" w:cs="仿宋"/>
          <w:sz w:val="32"/>
          <w:szCs w:val="32"/>
          <w:lang w:eastAsia="zh-CN"/>
        </w:rPr>
        <w:t>同</w:t>
      </w:r>
      <w:bookmarkStart w:id="0" w:name="_GoBack"/>
      <w:bookmarkEnd w:id="0"/>
      <w:r>
        <w:rPr>
          <w:rFonts w:hint="eastAsia" w:ascii="仿宋" w:hAnsi="仿宋" w:eastAsia="仿宋" w:cs="仿宋"/>
          <w:sz w:val="32"/>
          <w:szCs w:val="32"/>
        </w:rPr>
        <w:t>乡村振兴有效衔接，继续加大惠农资金投入力度，全力推进“一事一议”、美丽乡村项目建设、农村四好路建设、乡村环境治理等工作，推进农业农村高质量发展。四是支持教育均衡发展。足额保障义务教育补助经费、学前教育生均公用经费等县级承担的资金，严格贯彻落实教育领域财政事权和支出责任，为教育事业发展提供坚强的财力支撑。五是支持文化事业发展。安排各类文化发展资金，用于打造旅游资源发展、农村文化建设及文物保护经费等，满足人民群众的基本文化需求，保障广大人民群众基本文化权益。六是慎始如终抓好常态化疫情防控。全面压实责任，健全常态化疫情防控机制，加强疫情防控经费保障。</w:t>
      </w:r>
    </w:p>
    <w:p>
      <w:pPr>
        <w:ind w:firstLine="640" w:firstLineChars="200"/>
        <w:rPr>
          <w:rFonts w:ascii="仿宋" w:hAnsi="仿宋" w:eastAsia="仿宋" w:cs="仿宋"/>
          <w:sz w:val="32"/>
          <w:szCs w:val="32"/>
        </w:rPr>
      </w:pPr>
      <w:r>
        <w:rPr>
          <w:rFonts w:hint="eastAsia" w:ascii="仿宋" w:hAnsi="仿宋" w:eastAsia="仿宋" w:cs="仿宋"/>
          <w:sz w:val="32"/>
          <w:szCs w:val="32"/>
        </w:rPr>
        <w:t>（三）规范管理，多措并举，在“防范”上更有力</w:t>
      </w:r>
    </w:p>
    <w:p>
      <w:pPr>
        <w:ind w:firstLine="640" w:firstLineChars="200"/>
        <w:rPr>
          <w:rFonts w:ascii="仿宋" w:hAnsi="仿宋" w:eastAsia="仿宋" w:cs="仿宋"/>
          <w:sz w:val="32"/>
          <w:szCs w:val="32"/>
        </w:rPr>
      </w:pPr>
      <w:r>
        <w:rPr>
          <w:rFonts w:hint="eastAsia" w:ascii="仿宋" w:hAnsi="仿宋" w:eastAsia="仿宋" w:cs="仿宋"/>
          <w:sz w:val="32"/>
          <w:szCs w:val="32"/>
        </w:rPr>
        <w:t>一是坚决防控财政运行风险。强化地方政府隐性债务风险防范，严格遵循“化解存量、遏制增量”的原则，落实年度债务化解计划，积极稳妥处置化解隐性债务。定期评估全县政府性债务风险状况，及时排查风险隐患，确保政府债务率处于合理范围，债务风险总体可控。深入推进法治财政建设，建立健全内控制度，强化权力运行制约和监督机制，切实提高内部管理水平，有效防控廉政风险及其他风险。二是支持防控安全生产风险。牢固树立安全发展理念和底线思维，积极统筹财政资金，大力支持安全生产监管，进一步筑牢“安全线”，扎紧“安全笼”，助力营造安全稳定的生产环境。三是支持防控生态环境风险。加大资金投入力度，保障农村改厕、饮水安全、清洁取暖改造、农村生活垃圾等工作扎实推进，助力大气、水、土污染治理，支持绿色生态产业发展，努力营造绿色和谐宜居生活环境。</w:t>
      </w:r>
    </w:p>
    <w:p>
      <w:pPr>
        <w:ind w:firstLine="640" w:firstLineChars="200"/>
        <w:rPr>
          <w:rFonts w:ascii="仿宋" w:hAnsi="仿宋" w:eastAsia="仿宋" w:cs="仿宋"/>
          <w:sz w:val="32"/>
          <w:szCs w:val="32"/>
        </w:rPr>
      </w:pPr>
      <w:r>
        <w:rPr>
          <w:rFonts w:hint="eastAsia" w:ascii="仿宋" w:hAnsi="仿宋" w:eastAsia="仿宋" w:cs="仿宋"/>
          <w:sz w:val="32"/>
          <w:szCs w:val="32"/>
        </w:rPr>
        <w:t>（四）强化改革，转变职能，在“服务”上更优质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是深化改革与强化监管相结合。坚持以改革促监管，寓监管于改革之中，推进财税体制改革，加大预决算公开力度，全力做好财政决算公开工作；加强专项资金管理，严格按照审批程序和权限分配，通过部门内部整合和跨部门整合等方式，将资金性质和使用方向相同的专项资金统筹使用，避免各自为政、重复建设和撒“胡椒面”现象；资金拨付严格执行国库集中支付制度，确保资金从分配到拨付的全过程监管；继续开展对预算单位的财政检查和督导工作，严肃财经纪律和财务制度，杜绝截留、挪用、挤占专项资金的现象。二是提高财政资金使用效益。继续推进财政事权和支出责任划分改革，不断增强基层公共服务保障能力；继续推进预算管理一体化改革、预算绩效管理改革，积极推动预算绩效管理增点扩面，加大财政重点项目资金的绩效评价力度，提高资金使用效益，更好地发挥财政在“推动高质量发展”中的积极作用。</w:t>
      </w: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第二部分  2022年度单位预算报表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一、预算收支总表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二、预算收入总表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三、预算支出总表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四、财政拨款预算收支总表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五、一般公共预算支出预算表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六、一般公共预算安排基本支出部门经济分类表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七、政府性基金收入预算表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八、政府性基金支出预算表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九、“三公”经费预算财政拨款情况表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十、机关运行经费</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宋体" w:eastAsia="仿宋_GB2312" w:cs="Times New Roman"/>
          <w:sz w:val="32"/>
          <w:szCs w:val="32"/>
        </w:rPr>
        <w:t>十一、</w:t>
      </w:r>
      <w:r>
        <w:rPr>
          <w:rFonts w:hint="eastAsia" w:ascii="仿宋_GB2312" w:hAnsi="仿宋" w:eastAsia="仿宋_GB2312" w:cs="宋体"/>
          <w:kern w:val="0"/>
          <w:sz w:val="32"/>
          <w:szCs w:val="32"/>
        </w:rPr>
        <w:t>国有资本经营预算收支预算表</w:t>
      </w:r>
    </w:p>
    <w:p>
      <w:pPr>
        <w:widowControl/>
        <w:numPr>
          <w:ilvl w:val="0"/>
          <w:numId w:val="2"/>
        </w:numPr>
        <w:spacing w:line="560" w:lineRule="exact"/>
        <w:ind w:firstLine="640" w:firstLineChars="200"/>
        <w:rPr>
          <w:rFonts w:ascii="仿宋_GB2312" w:hAnsi="仿宋" w:eastAsia="仿宋_GB2312" w:cs="宋体"/>
          <w:kern w:val="0"/>
          <w:sz w:val="32"/>
          <w:szCs w:val="32"/>
        </w:rPr>
      </w:pPr>
      <w:r>
        <w:rPr>
          <w:rFonts w:hint="eastAsia" w:ascii="仿宋_GB2312" w:hAnsi="楷体" w:eastAsia="仿宋_GB2312"/>
          <w:kern w:val="0"/>
          <w:sz w:val="32"/>
          <w:szCs w:val="32"/>
        </w:rPr>
        <w:t>政府采购预算资金明细表</w:t>
      </w:r>
    </w:p>
    <w:p>
      <w:pPr>
        <w:widowControl/>
        <w:spacing w:line="560" w:lineRule="exact"/>
        <w:ind w:firstLine="640" w:firstLineChars="200"/>
        <w:rPr>
          <w:rFonts w:ascii="仿宋_GB2312" w:hAnsi="宋体" w:eastAsia="仿宋_GB2312" w:cs="Times New Roman"/>
          <w:sz w:val="32"/>
          <w:szCs w:val="32"/>
        </w:rPr>
      </w:pPr>
      <w:r>
        <w:rPr>
          <w:rFonts w:hint="eastAsia" w:ascii="仿宋_GB2312" w:hAnsi="楷体" w:eastAsia="仿宋_GB2312"/>
          <w:kern w:val="0"/>
          <w:sz w:val="32"/>
          <w:szCs w:val="32"/>
        </w:rPr>
        <w:t>十三、</w:t>
      </w:r>
      <w:r>
        <w:rPr>
          <w:rFonts w:hint="eastAsia" w:ascii="仿宋_GB2312" w:hAnsi="宋体" w:eastAsia="仿宋_GB2312" w:cs="Times New Roman"/>
          <w:sz w:val="32"/>
          <w:szCs w:val="32"/>
        </w:rPr>
        <w:t>项目支出绩效目标表</w:t>
      </w:r>
    </w:p>
    <w:p>
      <w:pPr>
        <w:spacing w:line="560" w:lineRule="exact"/>
        <w:ind w:firstLine="640" w:firstLineChars="200"/>
        <w:rPr>
          <w:rFonts w:ascii="仿宋_GB2312" w:hAnsi="宋体" w:eastAsia="仿宋_GB2312" w:cs="Times New Roman"/>
          <w:sz w:val="32"/>
          <w:szCs w:val="32"/>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第三部分  2022年度单位预算情况说明</w:t>
      </w:r>
    </w:p>
    <w:p>
      <w:pPr>
        <w:widowControl/>
        <w:numPr>
          <w:ilvl w:val="255"/>
          <w:numId w:val="0"/>
        </w:numPr>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财政局单位2022年度收入、支出预算总计</w:t>
      </w:r>
      <w:r>
        <w:rPr>
          <w:rFonts w:ascii="仿宋_GB2312" w:hAnsi="楷体" w:eastAsia="仿宋_GB2312"/>
          <w:kern w:val="0"/>
          <w:sz w:val="32"/>
          <w:szCs w:val="32"/>
        </w:rPr>
        <w:t>918.8672</w:t>
      </w:r>
      <w:r>
        <w:rPr>
          <w:rFonts w:hint="eastAsia" w:ascii="仿宋_GB2312" w:hAnsi="楷体" w:eastAsia="仿宋_GB2312"/>
          <w:kern w:val="0"/>
          <w:sz w:val="32"/>
          <w:szCs w:val="32"/>
        </w:rPr>
        <w:t>万元，与上年相比收、支预算总计各减少56.9928万元，减少5.84</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ascii="仿宋_GB2312" w:hAnsi="楷体" w:eastAsia="仿宋_GB2312"/>
          <w:kern w:val="0"/>
          <w:sz w:val="32"/>
          <w:szCs w:val="32"/>
        </w:rPr>
        <w:t>918.8672</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ascii="仿宋_GB2312" w:hAnsi="楷体" w:eastAsia="仿宋_GB2312"/>
          <w:kern w:val="0"/>
          <w:sz w:val="32"/>
          <w:szCs w:val="32"/>
        </w:rPr>
        <w:t>918.8672</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ascii="仿宋_GB2312" w:hAnsi="楷体" w:eastAsia="仿宋_GB2312"/>
          <w:kern w:val="0"/>
          <w:sz w:val="32"/>
          <w:szCs w:val="32"/>
        </w:rPr>
        <w:t>918.8672</w:t>
      </w:r>
      <w:r>
        <w:rPr>
          <w:rFonts w:hint="eastAsia" w:ascii="仿宋_GB2312" w:hAnsi="楷体" w:eastAsia="仿宋_GB2312"/>
          <w:kern w:val="0"/>
          <w:sz w:val="32"/>
          <w:szCs w:val="32"/>
        </w:rPr>
        <w:t>万元，与上年相比减少56.9928万元，减少</w:t>
      </w:r>
      <w:r>
        <w:rPr>
          <w:rFonts w:ascii="仿宋_GB2312" w:hAnsi="楷体" w:eastAsia="仿宋_GB2312"/>
          <w:kern w:val="0"/>
          <w:sz w:val="32"/>
          <w:szCs w:val="32"/>
        </w:rPr>
        <w:t>5.84%</w:t>
      </w:r>
      <w:r>
        <w:rPr>
          <w:rFonts w:hint="eastAsia" w:ascii="仿宋_GB2312" w:hAnsi="楷体" w:eastAsia="仿宋_GB2312"/>
          <w:kern w:val="0"/>
          <w:sz w:val="32"/>
          <w:szCs w:val="32"/>
        </w:rPr>
        <w:t>。主要原因是人员类收入项目的减少。</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ascii="仿宋_GB2312" w:hAnsi="楷体" w:eastAsia="仿宋_GB2312"/>
          <w:kern w:val="0"/>
          <w:sz w:val="32"/>
          <w:szCs w:val="32"/>
        </w:rPr>
        <w:t>0</w:t>
      </w:r>
      <w:r>
        <w:rPr>
          <w:rFonts w:hint="eastAsia" w:ascii="仿宋_GB2312" w:hAnsi="楷体" w:eastAsia="仿宋_GB2312"/>
          <w:kern w:val="0"/>
          <w:sz w:val="32"/>
          <w:szCs w:val="32"/>
        </w:rPr>
        <w:t>万元，与上年相比增加（减少）</w:t>
      </w:r>
      <w:r>
        <w:rPr>
          <w:rFonts w:ascii="仿宋_GB2312" w:hAnsi="楷体" w:eastAsia="仿宋_GB2312"/>
          <w:kern w:val="0"/>
          <w:sz w:val="32"/>
          <w:szCs w:val="32"/>
        </w:rPr>
        <w:t>0</w:t>
      </w:r>
      <w:r>
        <w:rPr>
          <w:rFonts w:hint="eastAsia" w:ascii="仿宋_GB2312" w:hAnsi="楷体" w:eastAsia="仿宋_GB2312"/>
          <w:kern w:val="0"/>
          <w:sz w:val="32"/>
          <w:szCs w:val="32"/>
        </w:rPr>
        <w:t>万元，增长（减少）</w:t>
      </w:r>
      <w:r>
        <w:rPr>
          <w:rFonts w:ascii="仿宋_GB2312" w:hAnsi="楷体" w:eastAsia="仿宋_GB2312"/>
          <w:kern w:val="0"/>
          <w:sz w:val="32"/>
          <w:szCs w:val="32"/>
        </w:rPr>
        <w:t>0%</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ascii="仿宋_GB2312" w:hAnsi="楷体" w:eastAsia="仿宋_GB2312"/>
          <w:kern w:val="0"/>
          <w:sz w:val="32"/>
          <w:szCs w:val="32"/>
        </w:rPr>
        <w:t>0</w:t>
      </w:r>
      <w:r>
        <w:rPr>
          <w:rFonts w:hint="eastAsia" w:ascii="仿宋_GB2312" w:hAnsi="楷体" w:eastAsia="仿宋_GB2312"/>
          <w:kern w:val="0"/>
          <w:sz w:val="32"/>
          <w:szCs w:val="32"/>
        </w:rPr>
        <w:t>万元。与上年相比增加（减少）</w:t>
      </w:r>
      <w:r>
        <w:rPr>
          <w:rFonts w:ascii="仿宋_GB2312" w:hAnsi="楷体" w:eastAsia="仿宋_GB2312"/>
          <w:kern w:val="0"/>
          <w:sz w:val="32"/>
          <w:szCs w:val="32"/>
        </w:rPr>
        <w:t>0</w:t>
      </w:r>
      <w:r>
        <w:rPr>
          <w:rFonts w:hint="eastAsia" w:ascii="仿宋_GB2312" w:hAnsi="楷体" w:eastAsia="仿宋_GB2312"/>
          <w:kern w:val="0"/>
          <w:sz w:val="32"/>
          <w:szCs w:val="32"/>
        </w:rPr>
        <w:t>万元，增长（减少）</w:t>
      </w:r>
      <w:r>
        <w:rPr>
          <w:rFonts w:ascii="仿宋_GB2312" w:hAnsi="楷体" w:eastAsia="仿宋_GB2312"/>
          <w:kern w:val="0"/>
          <w:sz w:val="32"/>
          <w:szCs w:val="32"/>
        </w:rPr>
        <w:t>0%</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ascii="仿宋_GB2312" w:hAnsi="楷体" w:eastAsia="仿宋_GB2312"/>
          <w:kern w:val="0"/>
          <w:sz w:val="32"/>
          <w:szCs w:val="32"/>
        </w:rPr>
        <w:t>0</w:t>
      </w:r>
      <w:r>
        <w:rPr>
          <w:rFonts w:hint="eastAsia" w:ascii="仿宋_GB2312" w:hAnsi="楷体" w:eastAsia="仿宋_GB2312"/>
          <w:kern w:val="0"/>
          <w:sz w:val="32"/>
          <w:szCs w:val="32"/>
        </w:rPr>
        <w:t>万元。与上年相比增加（减少）</w:t>
      </w:r>
      <w:r>
        <w:rPr>
          <w:rFonts w:ascii="仿宋_GB2312" w:hAnsi="楷体" w:eastAsia="仿宋_GB2312"/>
          <w:kern w:val="0"/>
          <w:sz w:val="32"/>
          <w:szCs w:val="32"/>
        </w:rPr>
        <w:t>0</w:t>
      </w:r>
      <w:r>
        <w:rPr>
          <w:rFonts w:hint="eastAsia" w:ascii="仿宋_GB2312" w:hAnsi="楷体" w:eastAsia="仿宋_GB2312"/>
          <w:kern w:val="0"/>
          <w:sz w:val="32"/>
          <w:szCs w:val="32"/>
        </w:rPr>
        <w:t>万元，增长（减少）</w:t>
      </w:r>
      <w:r>
        <w:rPr>
          <w:rFonts w:ascii="仿宋_GB2312" w:hAnsi="楷体" w:eastAsia="仿宋_GB2312"/>
          <w:kern w:val="0"/>
          <w:sz w:val="32"/>
          <w:szCs w:val="32"/>
        </w:rPr>
        <w:t>0%</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ascii="仿宋_GB2312" w:hAnsi="楷体" w:eastAsia="仿宋_GB2312"/>
          <w:kern w:val="0"/>
          <w:sz w:val="32"/>
          <w:szCs w:val="32"/>
        </w:rPr>
        <w:t>0</w:t>
      </w:r>
      <w:r>
        <w:rPr>
          <w:rFonts w:hint="eastAsia" w:ascii="仿宋_GB2312" w:hAnsi="楷体" w:eastAsia="仿宋_GB2312"/>
          <w:kern w:val="0"/>
          <w:sz w:val="32"/>
          <w:szCs w:val="32"/>
        </w:rPr>
        <w:t>万元。与上年相比增加（减少）</w:t>
      </w:r>
      <w:r>
        <w:rPr>
          <w:rFonts w:ascii="仿宋_GB2312" w:hAnsi="楷体" w:eastAsia="仿宋_GB2312"/>
          <w:kern w:val="0"/>
          <w:sz w:val="32"/>
          <w:szCs w:val="32"/>
        </w:rPr>
        <w:t>0</w:t>
      </w:r>
      <w:r>
        <w:rPr>
          <w:rFonts w:hint="eastAsia" w:ascii="仿宋_GB2312" w:hAnsi="楷体" w:eastAsia="仿宋_GB2312"/>
          <w:kern w:val="0"/>
          <w:sz w:val="32"/>
          <w:szCs w:val="32"/>
        </w:rPr>
        <w:t>万元，增长（减少）</w:t>
      </w:r>
      <w:r>
        <w:rPr>
          <w:rFonts w:ascii="仿宋_GB2312" w:hAnsi="楷体" w:eastAsia="仿宋_GB2312"/>
          <w:kern w:val="0"/>
          <w:sz w:val="32"/>
          <w:szCs w:val="32"/>
        </w:rPr>
        <w:t>0%</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ascii="仿宋_GB2312" w:hAnsi="楷体" w:eastAsia="仿宋_GB2312"/>
          <w:kern w:val="0"/>
          <w:sz w:val="32"/>
          <w:szCs w:val="32"/>
        </w:rPr>
        <w:t xml:space="preserve"> 918.8672</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w:t>
      </w:r>
      <w:r>
        <w:rPr>
          <w:rFonts w:ascii="仿宋_GB2312" w:hAnsi="楷体" w:eastAsia="仿宋_GB2312"/>
          <w:kern w:val="0"/>
          <w:sz w:val="32"/>
          <w:szCs w:val="32"/>
        </w:rPr>
        <w:t>809.5464</w:t>
      </w:r>
      <w:r>
        <w:rPr>
          <w:rFonts w:hint="eastAsia" w:ascii="仿宋_GB2312" w:hAnsi="楷体" w:eastAsia="仿宋_GB2312"/>
          <w:kern w:val="0"/>
          <w:sz w:val="32"/>
          <w:szCs w:val="32"/>
        </w:rPr>
        <w:t>万元，主要用于人员工资和机关运行经费。与上年相比减少</w:t>
      </w:r>
      <w:r>
        <w:rPr>
          <w:rFonts w:ascii="仿宋_GB2312" w:hAnsi="楷体" w:eastAsia="仿宋_GB2312"/>
          <w:kern w:val="0"/>
          <w:sz w:val="32"/>
          <w:szCs w:val="32"/>
        </w:rPr>
        <w:t>49.6636</w:t>
      </w:r>
      <w:r>
        <w:rPr>
          <w:rFonts w:hint="eastAsia" w:ascii="仿宋_GB2312" w:hAnsi="楷体" w:eastAsia="仿宋_GB2312"/>
          <w:kern w:val="0"/>
          <w:sz w:val="32"/>
          <w:szCs w:val="32"/>
        </w:rPr>
        <w:t>万元，减少</w:t>
      </w:r>
      <w:r>
        <w:rPr>
          <w:rFonts w:ascii="仿宋_GB2312" w:hAnsi="楷体" w:eastAsia="仿宋_GB2312"/>
          <w:kern w:val="0"/>
          <w:sz w:val="32"/>
          <w:szCs w:val="32"/>
        </w:rPr>
        <w:t>5.78%</w:t>
      </w:r>
      <w:r>
        <w:rPr>
          <w:rFonts w:hint="eastAsia" w:ascii="仿宋_GB2312" w:hAnsi="楷体" w:eastAsia="仿宋_GB2312"/>
          <w:kern w:val="0"/>
          <w:sz w:val="32"/>
          <w:szCs w:val="32"/>
        </w:rPr>
        <w:t>。主要原因是人员类支出项目的减少。</w:t>
      </w:r>
    </w:p>
    <w:p>
      <w:pPr>
        <w:widowControl/>
        <w:spacing w:line="560" w:lineRule="exact"/>
        <w:ind w:firstLine="640"/>
        <w:rPr>
          <w:rFonts w:hint="eastAsia"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．教育支出（类）支出4.9万元，主要用于农村财会人员培训。与上年相比减少</w:t>
      </w:r>
      <w:r>
        <w:rPr>
          <w:rFonts w:ascii="仿宋_GB2312" w:hAnsi="楷体" w:eastAsia="仿宋_GB2312"/>
          <w:kern w:val="0"/>
          <w:sz w:val="32"/>
          <w:szCs w:val="32"/>
        </w:rPr>
        <w:t>10</w:t>
      </w:r>
      <w:r>
        <w:rPr>
          <w:rFonts w:hint="eastAsia" w:ascii="仿宋_GB2312" w:hAnsi="楷体" w:eastAsia="仿宋_GB2312"/>
          <w:kern w:val="0"/>
          <w:sz w:val="32"/>
          <w:szCs w:val="32"/>
        </w:rPr>
        <w:t>万元，减少</w:t>
      </w:r>
      <w:r>
        <w:rPr>
          <w:rFonts w:ascii="仿宋_GB2312" w:hAnsi="楷体" w:eastAsia="仿宋_GB2312"/>
          <w:kern w:val="0"/>
          <w:sz w:val="32"/>
          <w:szCs w:val="32"/>
        </w:rPr>
        <w:t>67.11%</w:t>
      </w:r>
      <w:r>
        <w:rPr>
          <w:rFonts w:hint="eastAsia" w:ascii="仿宋_GB2312" w:hAnsi="楷体" w:eastAsia="仿宋_GB2312"/>
          <w:kern w:val="0"/>
          <w:sz w:val="32"/>
          <w:szCs w:val="32"/>
        </w:rPr>
        <w:t>。主要原因是专项项目配套资金今年未下达没有列入部门预算；社会保障和就业支出、卫生健康支出、住房保障支出分别为</w:t>
      </w:r>
      <w:r>
        <w:rPr>
          <w:rFonts w:ascii="仿宋_GB2312" w:hAnsi="楷体" w:eastAsia="仿宋_GB2312"/>
          <w:kern w:val="0"/>
          <w:sz w:val="32"/>
          <w:szCs w:val="32"/>
        </w:rPr>
        <w:t>57.5682</w:t>
      </w:r>
      <w:r>
        <w:rPr>
          <w:rFonts w:hint="eastAsia" w:ascii="仿宋_GB2312" w:hAnsi="楷体" w:eastAsia="仿宋_GB2312"/>
          <w:kern w:val="0"/>
          <w:sz w:val="32"/>
          <w:szCs w:val="32"/>
        </w:rPr>
        <w:t>万元、</w:t>
      </w:r>
      <w:r>
        <w:rPr>
          <w:rFonts w:ascii="仿宋_GB2312" w:hAnsi="楷体" w:eastAsia="仿宋_GB2312"/>
          <w:kern w:val="0"/>
          <w:sz w:val="32"/>
          <w:szCs w:val="32"/>
        </w:rPr>
        <w:t>21.5205</w:t>
      </w:r>
      <w:r>
        <w:rPr>
          <w:rFonts w:hint="eastAsia" w:ascii="仿宋_GB2312" w:hAnsi="楷体" w:eastAsia="仿宋_GB2312"/>
          <w:kern w:val="0"/>
          <w:sz w:val="32"/>
          <w:szCs w:val="32"/>
        </w:rPr>
        <w:t>万元、</w:t>
      </w:r>
      <w:r>
        <w:rPr>
          <w:rFonts w:ascii="仿宋_GB2312" w:hAnsi="楷体" w:eastAsia="仿宋_GB2312"/>
          <w:kern w:val="0"/>
          <w:sz w:val="32"/>
          <w:szCs w:val="32"/>
        </w:rPr>
        <w:t>25.3321</w:t>
      </w:r>
      <w:r>
        <w:rPr>
          <w:rFonts w:hint="eastAsia" w:ascii="仿宋_GB2312" w:hAnsi="楷体" w:eastAsia="仿宋_GB2312"/>
          <w:kern w:val="0"/>
          <w:sz w:val="32"/>
          <w:szCs w:val="32"/>
        </w:rPr>
        <w:t>万元，主要用于人员五险一金支出。</w:t>
      </w:r>
    </w:p>
    <w:p>
      <w:pPr>
        <w:widowControl/>
        <w:spacing w:line="560" w:lineRule="exact"/>
        <w:ind w:left="159" w:leftChars="76" w:firstLine="480" w:firstLineChars="150"/>
        <w:rPr>
          <w:rFonts w:ascii="仿宋_GB2312" w:hAnsi="楷体" w:eastAsia="仿宋_GB2312"/>
          <w:kern w:val="0"/>
          <w:sz w:val="32"/>
          <w:szCs w:val="32"/>
        </w:rPr>
      </w:pPr>
      <w:r>
        <w:rPr>
          <w:rFonts w:ascii="仿宋_GB2312" w:hAnsi="楷体" w:eastAsia="仿宋_GB2312"/>
          <w:kern w:val="0"/>
          <w:sz w:val="32"/>
          <w:szCs w:val="32"/>
        </w:rPr>
        <w:t>3</w:t>
      </w:r>
      <w:r>
        <w:rPr>
          <w:rFonts w:hint="eastAsia" w:ascii="仿宋_GB2312" w:hAnsi="楷体" w:eastAsia="仿宋_GB2312"/>
          <w:kern w:val="0"/>
          <w:sz w:val="32"/>
          <w:szCs w:val="32"/>
        </w:rPr>
        <w:t>．基本支出预算数为</w:t>
      </w:r>
      <w:r>
        <w:rPr>
          <w:rFonts w:ascii="仿宋_GB2312" w:hAnsi="楷体" w:eastAsia="仿宋_GB2312"/>
          <w:kern w:val="0"/>
          <w:sz w:val="32"/>
          <w:szCs w:val="32"/>
        </w:rPr>
        <w:t>444.9672</w:t>
      </w:r>
      <w:r>
        <w:rPr>
          <w:rFonts w:hint="eastAsia" w:ascii="仿宋_GB2312" w:hAnsi="楷体" w:eastAsia="仿宋_GB2312"/>
          <w:kern w:val="0"/>
          <w:sz w:val="32"/>
          <w:szCs w:val="32"/>
        </w:rPr>
        <w:t>万元。与上年相比增加8.0072万元，增长</w:t>
      </w:r>
      <w:r>
        <w:rPr>
          <w:rFonts w:ascii="仿宋_GB2312" w:hAnsi="楷体" w:eastAsia="仿宋_GB2312"/>
          <w:kern w:val="0"/>
          <w:sz w:val="32"/>
          <w:szCs w:val="32"/>
        </w:rPr>
        <w:t>1.83%</w:t>
      </w:r>
      <w:r>
        <w:rPr>
          <w:rFonts w:hint="eastAsia" w:ascii="仿宋_GB2312" w:hAnsi="楷体" w:eastAsia="仿宋_GB2312"/>
          <w:kern w:val="0"/>
          <w:sz w:val="32"/>
          <w:szCs w:val="32"/>
        </w:rPr>
        <w:t>。主要原因是人员工资和五险一金配套资金增加。项目支出预算数为</w:t>
      </w:r>
      <w:r>
        <w:rPr>
          <w:rFonts w:ascii="仿宋_GB2312" w:hAnsi="楷体" w:eastAsia="仿宋_GB2312"/>
          <w:kern w:val="0"/>
          <w:sz w:val="32"/>
          <w:szCs w:val="32"/>
        </w:rPr>
        <w:t>473.9</w:t>
      </w:r>
      <w:r>
        <w:rPr>
          <w:rFonts w:hint="eastAsia" w:ascii="仿宋_GB2312" w:hAnsi="楷体" w:eastAsia="仿宋_GB2312"/>
          <w:kern w:val="0"/>
          <w:sz w:val="32"/>
          <w:szCs w:val="32"/>
        </w:rPr>
        <w:t>万元。与上年相比减少</w:t>
      </w:r>
      <w:r>
        <w:rPr>
          <w:rFonts w:ascii="仿宋_GB2312" w:hAnsi="楷体" w:eastAsia="仿宋_GB2312"/>
          <w:kern w:val="0"/>
          <w:sz w:val="32"/>
          <w:szCs w:val="32"/>
        </w:rPr>
        <w:t>65</w:t>
      </w:r>
      <w:r>
        <w:rPr>
          <w:rFonts w:hint="eastAsia" w:ascii="仿宋_GB2312" w:hAnsi="楷体" w:eastAsia="仿宋_GB2312"/>
          <w:kern w:val="0"/>
          <w:sz w:val="32"/>
          <w:szCs w:val="32"/>
        </w:rPr>
        <w:t>万元，减少</w:t>
      </w:r>
      <w:r>
        <w:rPr>
          <w:rFonts w:ascii="仿宋_GB2312" w:hAnsi="楷体" w:eastAsia="仿宋_GB2312"/>
          <w:kern w:val="0"/>
          <w:sz w:val="32"/>
          <w:szCs w:val="32"/>
        </w:rPr>
        <w:t>12.06%</w:t>
      </w:r>
      <w:r>
        <w:rPr>
          <w:rFonts w:hint="eastAsia" w:ascii="仿宋_GB2312" w:hAnsi="楷体" w:eastAsia="仿宋_GB2312"/>
          <w:kern w:val="0"/>
          <w:sz w:val="32"/>
          <w:szCs w:val="32"/>
        </w:rPr>
        <w:t>。主要原因是人员类支出项目的减少。</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财政局单位本年收入预算合计</w:t>
      </w:r>
      <w:r>
        <w:rPr>
          <w:rFonts w:ascii="仿宋_GB2312" w:hAnsi="楷体" w:eastAsia="仿宋_GB2312"/>
          <w:kern w:val="0"/>
          <w:sz w:val="32"/>
          <w:szCs w:val="32"/>
        </w:rPr>
        <w:t>918.8672</w:t>
      </w:r>
      <w:r>
        <w:rPr>
          <w:rFonts w:hint="eastAsia" w:ascii="仿宋_GB2312" w:hAnsi="楷体" w:eastAsia="仿宋_GB2312"/>
          <w:kern w:val="0"/>
          <w:sz w:val="32"/>
          <w:szCs w:val="32"/>
        </w:rPr>
        <w:t>万元，其中：一般公共预算收入</w:t>
      </w:r>
      <w:r>
        <w:rPr>
          <w:rFonts w:ascii="仿宋_GB2312" w:hAnsi="楷体" w:eastAsia="仿宋_GB2312"/>
          <w:kern w:val="0"/>
          <w:sz w:val="32"/>
          <w:szCs w:val="32"/>
        </w:rPr>
        <w:t>918.8672</w:t>
      </w:r>
      <w:r>
        <w:rPr>
          <w:rFonts w:hint="eastAsia" w:ascii="仿宋_GB2312" w:hAnsi="楷体" w:eastAsia="仿宋_GB2312"/>
          <w:kern w:val="0"/>
          <w:sz w:val="32"/>
          <w:szCs w:val="32"/>
        </w:rPr>
        <w:t>万元，占</w:t>
      </w:r>
      <w:r>
        <w:rPr>
          <w:rFonts w:ascii="仿宋_GB2312" w:hAnsi="楷体" w:eastAsia="仿宋_GB2312"/>
          <w:kern w:val="0"/>
          <w:sz w:val="32"/>
          <w:szCs w:val="32"/>
        </w:rPr>
        <w:t>100%</w:t>
      </w:r>
      <w:r>
        <w:rPr>
          <w:rFonts w:hint="eastAsia" w:ascii="仿宋_GB2312" w:hAnsi="楷体" w:eastAsia="仿宋_GB2312"/>
          <w:kern w:val="0"/>
          <w:sz w:val="32"/>
          <w:szCs w:val="32"/>
        </w:rPr>
        <w:t>；政府性基金预算收入</w:t>
      </w:r>
      <w:r>
        <w:rPr>
          <w:rFonts w:ascii="仿宋_GB2312" w:hAnsi="楷体" w:eastAsia="仿宋_GB2312"/>
          <w:kern w:val="0"/>
          <w:sz w:val="32"/>
          <w:szCs w:val="32"/>
        </w:rPr>
        <w:t>0</w:t>
      </w:r>
      <w:r>
        <w:rPr>
          <w:rFonts w:hint="eastAsia" w:ascii="仿宋_GB2312" w:hAnsi="楷体" w:eastAsia="仿宋_GB2312"/>
          <w:kern w:val="0"/>
          <w:sz w:val="32"/>
          <w:szCs w:val="32"/>
        </w:rPr>
        <w:t>万元，占</w:t>
      </w:r>
      <w:r>
        <w:rPr>
          <w:rFonts w:ascii="仿宋_GB2312" w:hAnsi="楷体" w:eastAsia="仿宋_GB2312"/>
          <w:kern w:val="0"/>
          <w:sz w:val="32"/>
          <w:szCs w:val="32"/>
        </w:rPr>
        <w:t>0%</w:t>
      </w:r>
      <w:r>
        <w:rPr>
          <w:rFonts w:hint="eastAsia" w:ascii="仿宋_GB2312" w:hAnsi="楷体" w:eastAsia="仿宋_GB2312"/>
          <w:kern w:val="0"/>
          <w:sz w:val="32"/>
          <w:szCs w:val="32"/>
        </w:rPr>
        <w:t>；财政专户管理资金</w:t>
      </w:r>
      <w:r>
        <w:rPr>
          <w:rFonts w:ascii="仿宋_GB2312" w:hAnsi="楷体" w:eastAsia="仿宋_GB2312"/>
          <w:kern w:val="0"/>
          <w:sz w:val="32"/>
          <w:szCs w:val="32"/>
        </w:rPr>
        <w:t>0</w:t>
      </w:r>
      <w:r>
        <w:rPr>
          <w:rFonts w:hint="eastAsia" w:ascii="仿宋_GB2312" w:hAnsi="楷体" w:eastAsia="仿宋_GB2312"/>
          <w:kern w:val="0"/>
          <w:sz w:val="32"/>
          <w:szCs w:val="32"/>
        </w:rPr>
        <w:t>万元，占</w:t>
      </w:r>
      <w:r>
        <w:rPr>
          <w:rFonts w:ascii="仿宋_GB2312" w:hAnsi="楷体" w:eastAsia="仿宋_GB2312"/>
          <w:kern w:val="0"/>
          <w:sz w:val="32"/>
          <w:szCs w:val="32"/>
        </w:rPr>
        <w:t>0%</w:t>
      </w:r>
      <w:r>
        <w:rPr>
          <w:rFonts w:hint="eastAsia" w:ascii="仿宋_GB2312" w:hAnsi="楷体" w:eastAsia="仿宋_GB2312"/>
          <w:kern w:val="0"/>
          <w:sz w:val="32"/>
          <w:szCs w:val="32"/>
        </w:rPr>
        <w:t>；国有资本经营预算收入</w:t>
      </w:r>
      <w:r>
        <w:rPr>
          <w:rFonts w:ascii="仿宋_GB2312" w:hAnsi="楷体" w:eastAsia="仿宋_GB2312"/>
          <w:kern w:val="0"/>
          <w:sz w:val="32"/>
          <w:szCs w:val="32"/>
        </w:rPr>
        <w:t>0</w:t>
      </w:r>
      <w:r>
        <w:rPr>
          <w:rFonts w:hint="eastAsia" w:ascii="仿宋_GB2312" w:hAnsi="楷体" w:eastAsia="仿宋_GB2312"/>
          <w:kern w:val="0"/>
          <w:sz w:val="32"/>
          <w:szCs w:val="32"/>
        </w:rPr>
        <w:t>万元，占</w:t>
      </w:r>
      <w:r>
        <w:rPr>
          <w:rFonts w:ascii="仿宋_GB2312" w:hAnsi="楷体" w:eastAsia="仿宋_GB2312"/>
          <w:kern w:val="0"/>
          <w:sz w:val="32"/>
          <w:szCs w:val="32"/>
        </w:rPr>
        <w:t>0</w:t>
      </w:r>
      <w:r>
        <w:rPr>
          <w:rFonts w:hint="eastAsia" w:ascii="仿宋_GB2312" w:hAnsi="楷体" w:eastAsia="仿宋_GB2312"/>
          <w:kern w:val="0"/>
          <w:sz w:val="32"/>
          <w:szCs w:val="32"/>
        </w:rPr>
        <w:t>%；其他资金</w:t>
      </w:r>
      <w:r>
        <w:rPr>
          <w:rFonts w:ascii="仿宋_GB2312" w:hAnsi="楷体" w:eastAsia="仿宋_GB2312"/>
          <w:kern w:val="0"/>
          <w:sz w:val="32"/>
          <w:szCs w:val="32"/>
        </w:rPr>
        <w:t>0</w:t>
      </w:r>
      <w:r>
        <w:rPr>
          <w:rFonts w:hint="eastAsia" w:ascii="仿宋_GB2312" w:hAnsi="楷体" w:eastAsia="仿宋_GB2312"/>
          <w:kern w:val="0"/>
          <w:sz w:val="32"/>
          <w:szCs w:val="32"/>
        </w:rPr>
        <w:t>万元，占</w:t>
      </w:r>
      <w:r>
        <w:rPr>
          <w:rFonts w:ascii="仿宋_GB2312" w:hAnsi="楷体" w:eastAsia="仿宋_GB2312"/>
          <w:kern w:val="0"/>
          <w:sz w:val="32"/>
          <w:szCs w:val="32"/>
        </w:rPr>
        <w:t>0%</w:t>
      </w:r>
      <w:r>
        <w:rPr>
          <w:rFonts w:hint="eastAsia" w:ascii="仿宋_GB2312" w:hAnsi="楷体" w:eastAsia="仿宋_GB2312"/>
          <w:kern w:val="0"/>
          <w:sz w:val="32"/>
          <w:szCs w:val="32"/>
        </w:rPr>
        <w:t>。</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三、支出预算情况说明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财政局单位本年支出预算合计</w:t>
      </w:r>
      <w:r>
        <w:rPr>
          <w:rFonts w:ascii="仿宋_GB2312" w:hAnsi="楷体" w:eastAsia="仿宋_GB2312"/>
          <w:kern w:val="0"/>
          <w:sz w:val="32"/>
          <w:szCs w:val="32"/>
        </w:rPr>
        <w:t>918.8672</w:t>
      </w:r>
      <w:r>
        <w:rPr>
          <w:rFonts w:hint="eastAsia" w:ascii="仿宋_GB2312" w:hAnsi="楷体" w:eastAsia="仿宋_GB2312"/>
          <w:kern w:val="0"/>
          <w:sz w:val="32"/>
          <w:szCs w:val="32"/>
        </w:rPr>
        <w:t>万元，其中：基本支出</w:t>
      </w:r>
      <w:r>
        <w:rPr>
          <w:rFonts w:ascii="仿宋_GB2312" w:hAnsi="楷体" w:eastAsia="仿宋_GB2312"/>
          <w:kern w:val="0"/>
          <w:sz w:val="32"/>
          <w:szCs w:val="32"/>
        </w:rPr>
        <w:t>444.9672</w:t>
      </w:r>
      <w:r>
        <w:rPr>
          <w:rFonts w:hint="eastAsia" w:ascii="仿宋_GB2312" w:hAnsi="楷体" w:eastAsia="仿宋_GB2312"/>
          <w:kern w:val="0"/>
          <w:sz w:val="32"/>
          <w:szCs w:val="32"/>
        </w:rPr>
        <w:t>万元，占</w:t>
      </w:r>
      <w:r>
        <w:rPr>
          <w:rFonts w:ascii="仿宋_GB2312" w:hAnsi="楷体" w:eastAsia="仿宋_GB2312"/>
          <w:kern w:val="0"/>
          <w:sz w:val="32"/>
          <w:szCs w:val="32"/>
        </w:rPr>
        <w:t>48.43%</w:t>
      </w:r>
      <w:r>
        <w:rPr>
          <w:rFonts w:hint="eastAsia" w:ascii="仿宋_GB2312" w:hAnsi="楷体" w:eastAsia="仿宋_GB2312"/>
          <w:kern w:val="0"/>
          <w:sz w:val="32"/>
          <w:szCs w:val="32"/>
        </w:rPr>
        <w:t>；项目支出</w:t>
      </w:r>
      <w:r>
        <w:rPr>
          <w:rFonts w:ascii="仿宋_GB2312" w:hAnsi="楷体" w:eastAsia="仿宋_GB2312"/>
          <w:kern w:val="0"/>
          <w:sz w:val="32"/>
          <w:szCs w:val="32"/>
        </w:rPr>
        <w:t>473.9</w:t>
      </w:r>
      <w:r>
        <w:rPr>
          <w:rFonts w:hint="eastAsia" w:ascii="仿宋_GB2312" w:hAnsi="楷体" w:eastAsia="仿宋_GB2312"/>
          <w:kern w:val="0"/>
          <w:sz w:val="32"/>
          <w:szCs w:val="32"/>
        </w:rPr>
        <w:t>万元，占</w:t>
      </w:r>
      <w:r>
        <w:rPr>
          <w:rFonts w:ascii="仿宋_GB2312" w:hAnsi="楷体" w:eastAsia="仿宋_GB2312"/>
          <w:kern w:val="0"/>
          <w:sz w:val="32"/>
          <w:szCs w:val="32"/>
        </w:rPr>
        <w:t>51.57%</w:t>
      </w:r>
      <w:r>
        <w:rPr>
          <w:rFonts w:hint="eastAsia" w:ascii="仿宋_GB2312" w:hAnsi="楷体" w:eastAsia="仿宋_GB2312"/>
          <w:kern w:val="0"/>
          <w:sz w:val="32"/>
          <w:szCs w:val="32"/>
        </w:rPr>
        <w:t xml:space="preserve">。 </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四、财政拨款收支预算总体情况说明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财政局单位2022年度财政拨款收、支总预算</w:t>
      </w:r>
      <w:r>
        <w:rPr>
          <w:rFonts w:ascii="仿宋_GB2312" w:hAnsi="楷体" w:eastAsia="仿宋_GB2312"/>
          <w:kern w:val="0"/>
          <w:sz w:val="32"/>
          <w:szCs w:val="32"/>
        </w:rPr>
        <w:t>918.8672</w:t>
      </w:r>
      <w:r>
        <w:rPr>
          <w:rFonts w:hint="eastAsia" w:ascii="仿宋_GB2312" w:hAnsi="楷体" w:eastAsia="仿宋_GB2312"/>
          <w:kern w:val="0"/>
          <w:sz w:val="32"/>
          <w:szCs w:val="32"/>
        </w:rPr>
        <w:t>万元。与上年相比，财政拨款收、支总计各减少</w:t>
      </w:r>
      <w:r>
        <w:rPr>
          <w:rFonts w:ascii="仿宋_GB2312" w:hAnsi="楷体" w:eastAsia="仿宋_GB2312"/>
          <w:kern w:val="0"/>
          <w:sz w:val="32"/>
          <w:szCs w:val="32"/>
        </w:rPr>
        <w:t>56.9928</w:t>
      </w:r>
      <w:r>
        <w:rPr>
          <w:rFonts w:hint="eastAsia" w:ascii="仿宋_GB2312" w:hAnsi="楷体" w:eastAsia="仿宋_GB2312"/>
          <w:kern w:val="0"/>
          <w:sz w:val="32"/>
          <w:szCs w:val="32"/>
        </w:rPr>
        <w:t>万元，减少</w:t>
      </w:r>
      <w:r>
        <w:rPr>
          <w:rFonts w:ascii="仿宋_GB2312" w:hAnsi="楷体" w:eastAsia="仿宋_GB2312"/>
          <w:kern w:val="0"/>
          <w:sz w:val="32"/>
          <w:szCs w:val="32"/>
        </w:rPr>
        <w:t>5.84%</w:t>
      </w:r>
      <w:r>
        <w:rPr>
          <w:rFonts w:hint="eastAsia" w:ascii="仿宋_GB2312" w:hAnsi="楷体" w:eastAsia="仿宋_GB2312"/>
          <w:kern w:val="0"/>
          <w:sz w:val="32"/>
          <w:szCs w:val="32"/>
        </w:rPr>
        <w:t>。主要原因是人员类收、支项目的减少。</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五、一般公共预算支出预算情况说明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财政局单位2022年一般公共预算支出预算</w:t>
      </w:r>
      <w:r>
        <w:rPr>
          <w:rFonts w:ascii="仿宋_GB2312" w:hAnsi="楷体" w:eastAsia="仿宋_GB2312"/>
          <w:kern w:val="0"/>
          <w:sz w:val="32"/>
          <w:szCs w:val="32"/>
        </w:rPr>
        <w:t>918.8672</w:t>
      </w:r>
      <w:r>
        <w:rPr>
          <w:rFonts w:hint="eastAsia" w:ascii="仿宋_GB2312" w:hAnsi="楷体" w:eastAsia="仿宋_GB2312"/>
          <w:kern w:val="0"/>
          <w:sz w:val="32"/>
          <w:szCs w:val="32"/>
        </w:rPr>
        <w:t>万元，与上年相比减少</w:t>
      </w:r>
      <w:r>
        <w:rPr>
          <w:rFonts w:ascii="仿宋_GB2312" w:hAnsi="楷体" w:eastAsia="仿宋_GB2312"/>
          <w:kern w:val="0"/>
          <w:sz w:val="32"/>
          <w:szCs w:val="32"/>
        </w:rPr>
        <w:t>56.9928</w:t>
      </w:r>
      <w:r>
        <w:rPr>
          <w:rFonts w:hint="eastAsia" w:ascii="仿宋_GB2312" w:hAnsi="楷体" w:eastAsia="仿宋_GB2312"/>
          <w:kern w:val="0"/>
          <w:sz w:val="32"/>
          <w:szCs w:val="32"/>
        </w:rPr>
        <w:t>万元，减少</w:t>
      </w:r>
      <w:r>
        <w:rPr>
          <w:rFonts w:ascii="仿宋_GB2312" w:hAnsi="楷体" w:eastAsia="仿宋_GB2312"/>
          <w:kern w:val="0"/>
          <w:sz w:val="32"/>
          <w:szCs w:val="32"/>
        </w:rPr>
        <w:t>5.84%</w:t>
      </w:r>
      <w:r>
        <w:rPr>
          <w:rFonts w:hint="eastAsia" w:ascii="仿宋_GB2312" w:hAnsi="楷体" w:eastAsia="仿宋_GB2312"/>
          <w:kern w:val="0"/>
          <w:sz w:val="32"/>
          <w:szCs w:val="32"/>
        </w:rPr>
        <w:t>。主要原因是人员类支出项目的减少。</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六、一般公共预算基本支出预算情况说明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 xml:space="preserve">财政局单位2022年度一般公共预算基本支出预算 </w:t>
      </w:r>
      <w:r>
        <w:rPr>
          <w:rFonts w:ascii="仿宋_GB2312" w:hAnsi="楷体" w:eastAsia="仿宋_GB2312"/>
          <w:kern w:val="0"/>
          <w:sz w:val="32"/>
          <w:szCs w:val="32"/>
        </w:rPr>
        <w:t>444.9672</w:t>
      </w:r>
      <w:r>
        <w:rPr>
          <w:rFonts w:hint="eastAsia" w:ascii="仿宋_GB2312" w:hAnsi="楷体" w:eastAsia="仿宋_GB2312"/>
          <w:kern w:val="0"/>
          <w:sz w:val="32"/>
          <w:szCs w:val="32"/>
        </w:rPr>
        <w:t>万元，其中：</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ascii="仿宋_GB2312" w:hAnsi="楷体" w:eastAsia="仿宋_GB2312"/>
          <w:kern w:val="0"/>
          <w:sz w:val="32"/>
          <w:szCs w:val="32"/>
        </w:rPr>
        <w:t>421.7748</w:t>
      </w:r>
      <w:r>
        <w:rPr>
          <w:rFonts w:hint="eastAsia" w:ascii="仿宋_GB2312" w:hAnsi="楷体" w:eastAsia="仿宋_GB2312"/>
          <w:kern w:val="0"/>
          <w:sz w:val="32"/>
          <w:szCs w:val="32"/>
        </w:rPr>
        <w:t>万元。主要包括：基本工资、津贴补贴、奖金、绩效工资、机关事业单位基本养老保险缴费、其他社会保障缴费、职工基本医疗保险缴费、住房公积金、奖励金、退休费、生活补助。</w:t>
      </w:r>
    </w:p>
    <w:p>
      <w:pPr>
        <w:autoSpaceDE w:val="0"/>
        <w:autoSpaceDN w:val="0"/>
        <w:adjustRightInd w:val="0"/>
        <w:spacing w:line="560" w:lineRule="exact"/>
        <w:ind w:firstLine="641"/>
        <w:jc w:val="left"/>
        <w:rPr>
          <w:rFonts w:ascii="仿宋_GB2312" w:hAnsi="楷体" w:eastAsia="仿宋_GB2312"/>
          <w:kern w:val="0"/>
          <w:sz w:val="32"/>
          <w:szCs w:val="32"/>
        </w:rPr>
      </w:pPr>
      <w:r>
        <w:rPr>
          <w:rFonts w:hint="eastAsia" w:ascii="仿宋_GB2312" w:hAnsi="楷体" w:eastAsia="仿宋_GB2312"/>
          <w:kern w:val="0"/>
          <w:sz w:val="32"/>
          <w:szCs w:val="32"/>
        </w:rPr>
        <w:t>（二）公用经费</w:t>
      </w:r>
      <w:r>
        <w:rPr>
          <w:rFonts w:ascii="仿宋_GB2312" w:hAnsi="楷体" w:eastAsia="仿宋_GB2312"/>
          <w:kern w:val="0"/>
          <w:sz w:val="32"/>
          <w:szCs w:val="32"/>
        </w:rPr>
        <w:t>23.1924</w:t>
      </w:r>
      <w:r>
        <w:rPr>
          <w:rFonts w:hint="eastAsia" w:ascii="仿宋_GB2312" w:hAnsi="楷体" w:eastAsia="仿宋_GB2312"/>
          <w:kern w:val="0"/>
          <w:sz w:val="32"/>
          <w:szCs w:val="32"/>
        </w:rPr>
        <w:t>万元。主要包括：办公费、电费、邮电费、取暖费、租赁费、维修(护)费、劳务费、其他交通费用、其他商品和服务支出。</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财政局单位2022年政府性基金支出预算支出</w:t>
      </w:r>
      <w:r>
        <w:rPr>
          <w:rFonts w:ascii="仿宋_GB2312" w:hAnsi="楷体" w:eastAsia="仿宋_GB2312"/>
          <w:kern w:val="0"/>
          <w:sz w:val="32"/>
          <w:szCs w:val="32"/>
        </w:rPr>
        <w:t>0</w:t>
      </w:r>
      <w:r>
        <w:rPr>
          <w:rFonts w:hint="eastAsia" w:ascii="仿宋_GB2312" w:hAnsi="楷体" w:eastAsia="仿宋_GB2312"/>
          <w:kern w:val="0"/>
          <w:sz w:val="32"/>
          <w:szCs w:val="32"/>
        </w:rPr>
        <w:t>万元。与上年相比增加（减少）</w:t>
      </w:r>
      <w:r>
        <w:rPr>
          <w:rFonts w:ascii="仿宋_GB2312" w:hAnsi="楷体" w:eastAsia="仿宋_GB2312"/>
          <w:kern w:val="0"/>
          <w:sz w:val="32"/>
          <w:szCs w:val="32"/>
        </w:rPr>
        <w:t>0</w:t>
      </w:r>
      <w:r>
        <w:rPr>
          <w:rFonts w:hint="eastAsia" w:ascii="仿宋_GB2312" w:hAnsi="楷体" w:eastAsia="仿宋_GB2312"/>
          <w:kern w:val="0"/>
          <w:sz w:val="32"/>
          <w:szCs w:val="32"/>
        </w:rPr>
        <w:t>万元，增长（减少）</w:t>
      </w:r>
      <w:r>
        <w:rPr>
          <w:rFonts w:ascii="仿宋_GB2312" w:hAnsi="楷体" w:eastAsia="仿宋_GB2312"/>
          <w:kern w:val="0"/>
          <w:sz w:val="32"/>
          <w:szCs w:val="32"/>
        </w:rPr>
        <w:t>0%</w:t>
      </w:r>
      <w:r>
        <w:rPr>
          <w:rFonts w:hint="eastAsia" w:ascii="仿宋_GB2312" w:hAnsi="楷体" w:eastAsia="仿宋_GB2312"/>
          <w:kern w:val="0"/>
          <w:sz w:val="32"/>
          <w:szCs w:val="32"/>
        </w:rPr>
        <w:t>。</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八、一般公共预算“三公”经费预算情况说明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财政局单位2022年度一般公共预算拨款安排的“三公”经费预算支出中，因公出国（境）费支出</w:t>
      </w:r>
      <w:r>
        <w:rPr>
          <w:rFonts w:ascii="仿宋_GB2312" w:hAnsi="楷体" w:eastAsia="仿宋_GB2312"/>
          <w:kern w:val="0"/>
          <w:sz w:val="32"/>
          <w:szCs w:val="32"/>
        </w:rPr>
        <w:t>0</w:t>
      </w:r>
      <w:r>
        <w:rPr>
          <w:rFonts w:hint="eastAsia" w:ascii="仿宋_GB2312" w:hAnsi="楷体" w:eastAsia="仿宋_GB2312"/>
          <w:kern w:val="0"/>
          <w:sz w:val="32"/>
          <w:szCs w:val="32"/>
        </w:rPr>
        <w:t>万元，占“三公”经费的</w:t>
      </w:r>
      <w:r>
        <w:rPr>
          <w:rFonts w:ascii="仿宋_GB2312" w:hAnsi="楷体" w:eastAsia="仿宋_GB2312"/>
          <w:kern w:val="0"/>
          <w:sz w:val="32"/>
          <w:szCs w:val="32"/>
        </w:rPr>
        <w:t>0%</w:t>
      </w:r>
      <w:r>
        <w:rPr>
          <w:rFonts w:hint="eastAsia" w:ascii="仿宋_GB2312" w:hAnsi="楷体" w:eastAsia="仿宋_GB2312"/>
          <w:kern w:val="0"/>
          <w:sz w:val="32"/>
          <w:szCs w:val="32"/>
        </w:rPr>
        <w:t>；公务用车购置及运行费支出</w:t>
      </w:r>
      <w:r>
        <w:rPr>
          <w:rFonts w:ascii="仿宋_GB2312" w:hAnsi="楷体" w:eastAsia="仿宋_GB2312"/>
          <w:kern w:val="0"/>
          <w:sz w:val="32"/>
          <w:szCs w:val="32"/>
        </w:rPr>
        <w:t>0</w:t>
      </w:r>
      <w:r>
        <w:rPr>
          <w:rFonts w:hint="eastAsia" w:ascii="仿宋_GB2312" w:hAnsi="楷体" w:eastAsia="仿宋_GB2312"/>
          <w:kern w:val="0"/>
          <w:sz w:val="32"/>
          <w:szCs w:val="32"/>
        </w:rPr>
        <w:t>万元，占“三公”经费的</w:t>
      </w:r>
      <w:r>
        <w:rPr>
          <w:rFonts w:ascii="仿宋_GB2312" w:hAnsi="楷体" w:eastAsia="仿宋_GB2312"/>
          <w:kern w:val="0"/>
          <w:sz w:val="32"/>
          <w:szCs w:val="32"/>
        </w:rPr>
        <w:t>0%</w:t>
      </w:r>
      <w:r>
        <w:rPr>
          <w:rFonts w:hint="eastAsia" w:ascii="仿宋_GB2312" w:hAnsi="楷体" w:eastAsia="仿宋_GB2312"/>
          <w:kern w:val="0"/>
          <w:sz w:val="32"/>
          <w:szCs w:val="32"/>
        </w:rPr>
        <w:t>；公务接待费支出</w:t>
      </w:r>
      <w:r>
        <w:rPr>
          <w:rFonts w:ascii="仿宋_GB2312" w:hAnsi="楷体" w:eastAsia="仿宋_GB2312"/>
          <w:kern w:val="0"/>
          <w:sz w:val="32"/>
          <w:szCs w:val="32"/>
        </w:rPr>
        <w:t>1</w:t>
      </w:r>
      <w:r>
        <w:rPr>
          <w:rFonts w:hint="eastAsia" w:ascii="仿宋_GB2312" w:hAnsi="楷体" w:eastAsia="仿宋_GB2312"/>
          <w:kern w:val="0"/>
          <w:sz w:val="32"/>
          <w:szCs w:val="32"/>
        </w:rPr>
        <w:t>万元，占“三公”经费的</w:t>
      </w:r>
      <w:r>
        <w:rPr>
          <w:rFonts w:ascii="仿宋_GB2312" w:hAnsi="楷体" w:eastAsia="仿宋_GB2312"/>
          <w:kern w:val="0"/>
          <w:sz w:val="32"/>
          <w:szCs w:val="32"/>
        </w:rPr>
        <w:t>100%</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w:t>
      </w:r>
      <w:r>
        <w:rPr>
          <w:rFonts w:ascii="仿宋_GB2312" w:hAnsi="楷体" w:eastAsia="仿宋_GB2312"/>
          <w:kern w:val="0"/>
          <w:sz w:val="32"/>
          <w:szCs w:val="32"/>
        </w:rPr>
        <w:t>0</w:t>
      </w:r>
      <w:r>
        <w:rPr>
          <w:rFonts w:hint="eastAsia" w:ascii="仿宋_GB2312" w:hAnsi="楷体" w:eastAsia="仿宋_GB2312"/>
          <w:kern w:val="0"/>
          <w:sz w:val="32"/>
          <w:szCs w:val="32"/>
        </w:rPr>
        <w:t>万元，比上年预算增加（减少）</w:t>
      </w:r>
      <w:r>
        <w:rPr>
          <w:rFonts w:ascii="仿宋_GB2312" w:hAnsi="楷体" w:eastAsia="仿宋_GB2312"/>
          <w:kern w:val="0"/>
          <w:sz w:val="32"/>
          <w:szCs w:val="32"/>
        </w:rPr>
        <w:t>0</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ascii="仿宋_GB2312" w:hAnsi="楷体" w:eastAsia="仿宋_GB2312"/>
          <w:kern w:val="0"/>
          <w:sz w:val="32"/>
          <w:szCs w:val="32"/>
        </w:rPr>
        <w:t>0</w:t>
      </w:r>
      <w:r>
        <w:rPr>
          <w:rFonts w:hint="eastAsia" w:ascii="仿宋_GB2312" w:hAnsi="楷体" w:eastAsia="仿宋_GB2312"/>
          <w:kern w:val="0"/>
          <w:sz w:val="32"/>
          <w:szCs w:val="32"/>
        </w:rPr>
        <w:t>万元。其中：</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w:t>
      </w:r>
      <w:r>
        <w:rPr>
          <w:rFonts w:ascii="仿宋_GB2312" w:hAnsi="楷体" w:eastAsia="仿宋_GB2312"/>
          <w:kern w:val="0"/>
          <w:sz w:val="32"/>
          <w:szCs w:val="32"/>
        </w:rPr>
        <w:t>0</w:t>
      </w:r>
      <w:r>
        <w:rPr>
          <w:rFonts w:hint="eastAsia" w:ascii="仿宋_GB2312" w:hAnsi="楷体" w:eastAsia="仿宋_GB2312"/>
          <w:kern w:val="0"/>
          <w:sz w:val="32"/>
          <w:szCs w:val="32"/>
        </w:rPr>
        <w:t>万元，比上年预算增加（减少）</w:t>
      </w:r>
      <w:r>
        <w:rPr>
          <w:rFonts w:ascii="仿宋_GB2312" w:hAnsi="楷体" w:eastAsia="仿宋_GB2312"/>
          <w:kern w:val="0"/>
          <w:sz w:val="32"/>
          <w:szCs w:val="32"/>
        </w:rPr>
        <w:t>0</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ascii="仿宋_GB2312" w:hAnsi="楷体" w:eastAsia="仿宋_GB2312"/>
          <w:kern w:val="0"/>
          <w:sz w:val="32"/>
          <w:szCs w:val="32"/>
        </w:rPr>
        <w:t>0</w:t>
      </w:r>
      <w:r>
        <w:rPr>
          <w:rFonts w:hint="eastAsia" w:ascii="仿宋_GB2312" w:hAnsi="楷体" w:eastAsia="仿宋_GB2312"/>
          <w:kern w:val="0"/>
          <w:sz w:val="32"/>
          <w:szCs w:val="32"/>
        </w:rPr>
        <w:t>万元，比上年预算增加（减少）</w:t>
      </w:r>
      <w:r>
        <w:rPr>
          <w:rFonts w:ascii="仿宋_GB2312" w:hAnsi="楷体" w:eastAsia="仿宋_GB2312"/>
          <w:kern w:val="0"/>
          <w:sz w:val="32"/>
          <w:szCs w:val="32"/>
        </w:rPr>
        <w:t>0</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u w:val="single"/>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ascii="仿宋_GB2312" w:hAnsi="楷体" w:eastAsia="仿宋_GB2312"/>
          <w:kern w:val="0"/>
          <w:sz w:val="32"/>
          <w:szCs w:val="32"/>
        </w:rPr>
        <w:t>1</w:t>
      </w:r>
      <w:r>
        <w:rPr>
          <w:rFonts w:hint="eastAsia" w:ascii="仿宋_GB2312" w:hAnsi="楷体" w:eastAsia="仿宋_GB2312"/>
          <w:kern w:val="0"/>
          <w:sz w:val="32"/>
          <w:szCs w:val="32"/>
        </w:rPr>
        <w:t>万元，与上年预算支出相同。</w:t>
      </w:r>
    </w:p>
    <w:p>
      <w:pPr>
        <w:widowControl/>
        <w:spacing w:line="560" w:lineRule="exact"/>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九、一般公共预算机关运行经费支出预算情况说明</w:t>
      </w:r>
    </w:p>
    <w:p>
      <w:pPr>
        <w:autoSpaceDE w:val="0"/>
        <w:autoSpaceDN w:val="0"/>
        <w:adjustRightInd w:val="0"/>
        <w:ind w:firstLine="800" w:firstLineChars="250"/>
        <w:jc w:val="left"/>
        <w:rPr>
          <w:rFonts w:ascii="仿宋_GB2312" w:hAnsi="楷体" w:eastAsia="仿宋_GB2312"/>
          <w:kern w:val="0"/>
          <w:sz w:val="32"/>
          <w:szCs w:val="32"/>
          <w:u w:val="single"/>
        </w:rPr>
      </w:pPr>
      <w:r>
        <w:rPr>
          <w:rFonts w:hint="eastAsia" w:ascii="仿宋_GB2312" w:hAnsi="楷体" w:eastAsia="仿宋_GB2312"/>
          <w:kern w:val="0"/>
          <w:sz w:val="32"/>
          <w:szCs w:val="32"/>
        </w:rPr>
        <w:t>2022年本单位一般公共预算机关运行经费预算支出</w:t>
      </w:r>
    </w:p>
    <w:p>
      <w:pPr>
        <w:autoSpaceDE w:val="0"/>
        <w:autoSpaceDN w:val="0"/>
        <w:adjustRightInd w:val="0"/>
        <w:jc w:val="left"/>
        <w:rPr>
          <w:rFonts w:ascii="仿宋_GB2312" w:hAnsi="楷体" w:eastAsia="仿宋_GB2312"/>
          <w:kern w:val="0"/>
          <w:sz w:val="32"/>
          <w:szCs w:val="32"/>
        </w:rPr>
      </w:pPr>
      <w:r>
        <w:rPr>
          <w:rFonts w:ascii="仿宋_GB2312" w:hAnsi="楷体" w:eastAsia="仿宋_GB2312"/>
          <w:kern w:val="0"/>
          <w:sz w:val="32"/>
          <w:szCs w:val="32"/>
        </w:rPr>
        <w:t>23.1924</w:t>
      </w:r>
      <w:r>
        <w:rPr>
          <w:rFonts w:hint="eastAsia" w:ascii="仿宋_GB2312" w:hAnsi="楷体" w:eastAsia="仿宋_GB2312"/>
          <w:kern w:val="0"/>
          <w:sz w:val="32"/>
          <w:szCs w:val="32"/>
        </w:rPr>
        <w:t>万元，与上年相比减少</w:t>
      </w:r>
      <w:r>
        <w:rPr>
          <w:rFonts w:ascii="仿宋_GB2312" w:hAnsi="楷体" w:eastAsia="仿宋_GB2312"/>
          <w:kern w:val="0"/>
          <w:sz w:val="32"/>
          <w:szCs w:val="32"/>
        </w:rPr>
        <w:t>0.6376</w:t>
      </w:r>
      <w:r>
        <w:rPr>
          <w:rFonts w:hint="eastAsia" w:ascii="仿宋_GB2312" w:hAnsi="楷体" w:eastAsia="仿宋_GB2312"/>
          <w:kern w:val="0"/>
          <w:sz w:val="32"/>
          <w:szCs w:val="32"/>
        </w:rPr>
        <w:t>万元，降低</w:t>
      </w:r>
      <w:r>
        <w:rPr>
          <w:rFonts w:ascii="仿宋_GB2312" w:hAnsi="楷体" w:eastAsia="仿宋_GB2312"/>
          <w:kern w:val="0"/>
          <w:sz w:val="32"/>
          <w:szCs w:val="32"/>
        </w:rPr>
        <w:t>2.68%</w:t>
      </w:r>
      <w:r>
        <w:rPr>
          <w:rFonts w:hint="eastAsia" w:ascii="仿宋_GB2312" w:hAnsi="楷体" w:eastAsia="仿宋_GB2312"/>
          <w:kern w:val="0"/>
          <w:sz w:val="32"/>
          <w:szCs w:val="32"/>
        </w:rPr>
        <w:t>。</w:t>
      </w:r>
    </w:p>
    <w:p>
      <w:pPr>
        <w:autoSpaceDE w:val="0"/>
        <w:autoSpaceDN w:val="0"/>
        <w:adjustRightInd w:val="0"/>
        <w:jc w:val="left"/>
        <w:rPr>
          <w:rFonts w:hint="eastAsia" w:ascii="仿宋_GB2312" w:hAnsi="楷体" w:eastAsia="仿宋_GB2312"/>
          <w:kern w:val="0"/>
          <w:sz w:val="32"/>
          <w:szCs w:val="32"/>
        </w:rPr>
      </w:pPr>
      <w:r>
        <w:rPr>
          <w:rFonts w:hint="eastAsia" w:ascii="仿宋_GB2312" w:hAnsi="楷体" w:eastAsia="仿宋_GB2312"/>
          <w:kern w:val="0"/>
          <w:sz w:val="32"/>
          <w:szCs w:val="32"/>
        </w:rPr>
        <w:t>主要原因是2021年</w:t>
      </w:r>
      <w:r>
        <w:rPr>
          <w:rFonts w:ascii="仿宋_GB2312" w:hAnsi="楷体" w:eastAsia="仿宋_GB2312"/>
          <w:kern w:val="0"/>
          <w:sz w:val="32"/>
          <w:szCs w:val="32"/>
        </w:rPr>
        <w:t>6</w:t>
      </w:r>
      <w:r>
        <w:rPr>
          <w:rFonts w:hint="eastAsia" w:ascii="仿宋_GB2312" w:hAnsi="楷体" w:eastAsia="仿宋_GB2312"/>
          <w:kern w:val="0"/>
          <w:sz w:val="32"/>
          <w:szCs w:val="32"/>
        </w:rPr>
        <w:t>月中共襄汾县委机构编制委员会对我单位下属事业单位机构编制进行调整，由原来的事业编制29名从新核定调整为</w:t>
      </w:r>
      <w:r>
        <w:rPr>
          <w:rFonts w:ascii="仿宋_GB2312" w:hAnsi="楷体" w:eastAsia="仿宋_GB2312"/>
          <w:kern w:val="0"/>
          <w:sz w:val="32"/>
          <w:szCs w:val="32"/>
        </w:rPr>
        <w:t>6</w:t>
      </w:r>
      <w:r>
        <w:rPr>
          <w:rFonts w:hint="eastAsia" w:ascii="仿宋_GB2312" w:hAnsi="楷体" w:eastAsia="仿宋_GB2312"/>
          <w:kern w:val="0"/>
          <w:sz w:val="32"/>
          <w:szCs w:val="32"/>
        </w:rPr>
        <w:t>名，所以一般公共预算机关运行经费预算支出减少。</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十、政府采购支出预算情况说明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2022年度政府采购支出预算总额</w:t>
      </w:r>
      <w:r>
        <w:rPr>
          <w:rFonts w:ascii="仿宋_GB2312" w:hAnsi="楷体" w:eastAsia="仿宋_GB2312"/>
          <w:kern w:val="0"/>
          <w:sz w:val="32"/>
          <w:szCs w:val="32"/>
        </w:rPr>
        <w:t>23.5</w:t>
      </w:r>
      <w:r>
        <w:rPr>
          <w:rFonts w:hint="eastAsia" w:ascii="仿宋_GB2312" w:hAnsi="楷体" w:eastAsia="仿宋_GB2312"/>
          <w:kern w:val="0"/>
          <w:sz w:val="32"/>
          <w:szCs w:val="32"/>
        </w:rPr>
        <w:t>万元，其中：拟采购货物支出</w:t>
      </w:r>
      <w:r>
        <w:rPr>
          <w:rFonts w:ascii="仿宋_GB2312" w:hAnsi="楷体" w:eastAsia="仿宋_GB2312"/>
          <w:kern w:val="0"/>
          <w:sz w:val="32"/>
          <w:szCs w:val="32"/>
        </w:rPr>
        <w:t>12.5</w:t>
      </w:r>
      <w:r>
        <w:rPr>
          <w:rFonts w:hint="eastAsia" w:ascii="仿宋_GB2312" w:hAnsi="楷体" w:eastAsia="仿宋_GB2312"/>
          <w:kern w:val="0"/>
          <w:sz w:val="32"/>
          <w:szCs w:val="32"/>
        </w:rPr>
        <w:t>万元、拟采购工程支出</w:t>
      </w:r>
      <w:r>
        <w:rPr>
          <w:rFonts w:ascii="仿宋_GB2312" w:hAnsi="楷体" w:eastAsia="仿宋_GB2312"/>
          <w:kern w:val="0"/>
          <w:sz w:val="32"/>
          <w:szCs w:val="32"/>
        </w:rPr>
        <w:t>0</w:t>
      </w:r>
      <w:r>
        <w:rPr>
          <w:rFonts w:hint="eastAsia" w:ascii="仿宋_GB2312" w:hAnsi="楷体" w:eastAsia="仿宋_GB2312"/>
          <w:kern w:val="0"/>
          <w:sz w:val="32"/>
          <w:szCs w:val="32"/>
        </w:rPr>
        <w:t>万元、拟购买服务支出</w:t>
      </w:r>
      <w:r>
        <w:rPr>
          <w:rFonts w:ascii="仿宋_GB2312" w:hAnsi="楷体" w:eastAsia="仿宋_GB2312"/>
          <w:kern w:val="0"/>
          <w:sz w:val="32"/>
          <w:szCs w:val="32"/>
        </w:rPr>
        <w:t>11</w:t>
      </w:r>
      <w:r>
        <w:rPr>
          <w:rFonts w:hint="eastAsia" w:ascii="仿宋_GB2312" w:hAnsi="楷体" w:eastAsia="仿宋_GB2312"/>
          <w:kern w:val="0"/>
          <w:sz w:val="32"/>
          <w:szCs w:val="32"/>
        </w:rPr>
        <w:t>万元。</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本单位共有车辆</w:t>
      </w:r>
      <w:r>
        <w:rPr>
          <w:rFonts w:ascii="仿宋_GB2312" w:hAnsi="楷体" w:eastAsia="仿宋_GB2312"/>
          <w:kern w:val="0"/>
          <w:sz w:val="32"/>
          <w:szCs w:val="32"/>
        </w:rPr>
        <w:t>0</w:t>
      </w:r>
      <w:r>
        <w:rPr>
          <w:rFonts w:hint="eastAsia" w:ascii="仿宋_GB2312" w:hAnsi="楷体" w:eastAsia="仿宋_GB2312"/>
          <w:kern w:val="0"/>
          <w:sz w:val="32"/>
          <w:szCs w:val="32"/>
        </w:rPr>
        <w:t>辆，其中，一般公务用车</w:t>
      </w:r>
      <w:r>
        <w:rPr>
          <w:rFonts w:ascii="仿宋_GB2312" w:hAnsi="楷体" w:eastAsia="仿宋_GB2312"/>
          <w:kern w:val="0"/>
          <w:sz w:val="32"/>
          <w:szCs w:val="32"/>
        </w:rPr>
        <w:t>0</w:t>
      </w:r>
      <w:r>
        <w:rPr>
          <w:rFonts w:hint="eastAsia" w:ascii="仿宋_GB2312" w:hAnsi="楷体" w:eastAsia="仿宋_GB2312"/>
          <w:kern w:val="0"/>
          <w:sz w:val="32"/>
          <w:szCs w:val="32"/>
        </w:rPr>
        <w:t>辆、执法执勤用车</w:t>
      </w:r>
      <w:r>
        <w:rPr>
          <w:rFonts w:ascii="仿宋_GB2312" w:hAnsi="楷体" w:eastAsia="仿宋_GB2312"/>
          <w:kern w:val="0"/>
          <w:sz w:val="32"/>
          <w:szCs w:val="32"/>
        </w:rPr>
        <w:t>0</w:t>
      </w:r>
      <w:r>
        <w:rPr>
          <w:rFonts w:hint="eastAsia" w:ascii="仿宋_GB2312" w:hAnsi="楷体" w:eastAsia="仿宋_GB2312"/>
          <w:kern w:val="0"/>
          <w:sz w:val="32"/>
          <w:szCs w:val="32"/>
        </w:rPr>
        <w:t>辆、特种专业技术用车</w:t>
      </w:r>
      <w:r>
        <w:rPr>
          <w:rFonts w:ascii="仿宋_GB2312" w:hAnsi="楷体" w:eastAsia="仿宋_GB2312"/>
          <w:kern w:val="0"/>
          <w:sz w:val="32"/>
          <w:szCs w:val="32"/>
        </w:rPr>
        <w:t>0</w:t>
      </w:r>
      <w:r>
        <w:rPr>
          <w:rFonts w:hint="eastAsia" w:ascii="仿宋_GB2312" w:hAnsi="楷体" w:eastAsia="仿宋_GB2312"/>
          <w:kern w:val="0"/>
          <w:sz w:val="32"/>
          <w:szCs w:val="32"/>
        </w:rPr>
        <w:t>辆、其他用车</w:t>
      </w:r>
      <w:r>
        <w:rPr>
          <w:rFonts w:ascii="仿宋_GB2312" w:hAnsi="楷体" w:eastAsia="仿宋_GB2312"/>
          <w:kern w:val="0"/>
          <w:sz w:val="32"/>
          <w:szCs w:val="32"/>
        </w:rPr>
        <w:t>0</w:t>
      </w:r>
      <w:r>
        <w:rPr>
          <w:rFonts w:hint="eastAsia" w:ascii="仿宋_GB2312" w:hAnsi="楷体" w:eastAsia="仿宋_GB2312"/>
          <w:kern w:val="0"/>
          <w:sz w:val="32"/>
          <w:szCs w:val="32"/>
        </w:rPr>
        <w:t>辆等。</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ascii="仿宋_GB2312" w:hAnsi="楷体" w:eastAsia="仿宋_GB2312"/>
          <w:kern w:val="0"/>
          <w:sz w:val="32"/>
          <w:szCs w:val="32"/>
        </w:rPr>
      </w:pPr>
      <w:r>
        <w:rPr>
          <w:rFonts w:hint="eastAsia" w:ascii="仿宋_GB2312" w:hAnsi="楷体" w:eastAsia="仿宋_GB2312"/>
          <w:kern w:val="0"/>
          <w:sz w:val="32"/>
          <w:szCs w:val="32"/>
        </w:rPr>
        <w:t>2022年度，本单位单位共</w:t>
      </w:r>
      <w:r>
        <w:rPr>
          <w:rFonts w:ascii="仿宋_GB2312" w:hAnsi="楷体" w:eastAsia="仿宋_GB2312"/>
          <w:kern w:val="0"/>
          <w:sz w:val="32"/>
          <w:szCs w:val="32"/>
        </w:rPr>
        <w:t>5</w:t>
      </w:r>
      <w:r>
        <w:rPr>
          <w:rFonts w:hint="eastAsia" w:ascii="仿宋_GB2312" w:hAnsi="楷体" w:eastAsia="仿宋_GB2312"/>
          <w:kern w:val="0"/>
          <w:sz w:val="32"/>
          <w:szCs w:val="32"/>
        </w:rPr>
        <w:t>个项目纳入绩效目标管理，涉及财政性资金合计</w:t>
      </w:r>
      <w:r>
        <w:rPr>
          <w:rFonts w:ascii="仿宋_GB2312" w:hAnsi="楷体" w:eastAsia="仿宋_GB2312"/>
          <w:kern w:val="0"/>
          <w:sz w:val="32"/>
          <w:szCs w:val="32"/>
        </w:rPr>
        <w:t>473.9</w:t>
      </w:r>
      <w:r>
        <w:rPr>
          <w:rFonts w:hint="eastAsia" w:ascii="仿宋_GB2312" w:hAnsi="楷体" w:eastAsia="仿宋_GB2312"/>
          <w:kern w:val="0"/>
          <w:sz w:val="32"/>
          <w:szCs w:val="32"/>
        </w:rPr>
        <w:t>万元；本单位单位整体支出（</w:t>
      </w:r>
      <w:r>
        <w:rPr>
          <w:rFonts w:hint="eastAsia" w:ascii="仿宋_GB2312" w:hAnsi="楷体" w:eastAsia="仿宋_GB2312"/>
          <w:kern w:val="0"/>
          <w:sz w:val="32"/>
          <w:szCs w:val="32"/>
        </w:rPr>
        <w:sym w:font="Wingdings" w:char="F0FE"/>
      </w:r>
      <w:r>
        <w:rPr>
          <w:rFonts w:hint="eastAsia" w:ascii="仿宋_GB2312" w:hAnsi="楷体" w:eastAsia="仿宋_GB2312"/>
          <w:kern w:val="0"/>
          <w:sz w:val="32"/>
          <w:szCs w:val="32"/>
        </w:rPr>
        <w:t>纳入、□未纳入）绩效目标管理，涉及财政性资金</w:t>
      </w:r>
      <w:r>
        <w:rPr>
          <w:rFonts w:ascii="仿宋_GB2312" w:hAnsi="楷体" w:eastAsia="仿宋_GB2312"/>
          <w:kern w:val="0"/>
          <w:sz w:val="32"/>
          <w:szCs w:val="32"/>
        </w:rPr>
        <w:t>473.9</w:t>
      </w:r>
      <w:r>
        <w:rPr>
          <w:rFonts w:hint="eastAsia" w:ascii="仿宋_GB2312" w:hAnsi="楷体" w:eastAsia="仿宋_GB2312"/>
          <w:kern w:val="0"/>
          <w:sz w:val="32"/>
          <w:szCs w:val="32"/>
        </w:rPr>
        <w:t>万元。</w:t>
      </w:r>
    </w:p>
    <w:p>
      <w:pPr>
        <w:widowControl/>
        <w:spacing w:line="560" w:lineRule="exact"/>
        <w:ind w:firstLine="636"/>
        <w:rPr>
          <w:rFonts w:ascii="仿宋_GB2312" w:hAnsi="楷体" w:eastAsia="仿宋_GB2312"/>
          <w:kern w:val="0"/>
          <w:sz w:val="32"/>
          <w:szCs w:val="32"/>
        </w:rPr>
      </w:pPr>
      <w:r>
        <w:rPr>
          <w:rFonts w:hint="eastAsia" w:ascii="仿宋_GB2312" w:hAnsi="楷体" w:eastAsia="仿宋_GB2312"/>
          <w:kern w:val="0"/>
          <w:sz w:val="32"/>
          <w:szCs w:val="32"/>
        </w:rPr>
        <w:t>十三、其他说明</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（一）政府债券公开</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1.一般债券公开</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本单位未使用政府债券。</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2.专项债券公开</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本单位未使用专项债券。</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（二）其他</w:t>
      </w: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6"/>
        <w:rFonts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5</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E4843"/>
    <w:multiLevelType w:val="singleLevel"/>
    <w:tmpl w:val="A25E4843"/>
    <w:lvl w:ilvl="0" w:tentative="0">
      <w:start w:val="12"/>
      <w:numFmt w:val="chineseCounting"/>
      <w:suff w:val="nothing"/>
      <w:lvlText w:val="%1、"/>
      <w:lvlJc w:val="left"/>
      <w:rPr>
        <w:rFonts w:hint="eastAsia"/>
      </w:rPr>
    </w:lvl>
  </w:abstractNum>
  <w:abstractNum w:abstractNumId="1">
    <w:nsid w:val="5456D05E"/>
    <w:multiLevelType w:val="singleLevel"/>
    <w:tmpl w:val="5456D05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F7B"/>
    <w:rsid w:val="00016396"/>
    <w:rsid w:val="000231A2"/>
    <w:rsid w:val="00032F87"/>
    <w:rsid w:val="00054D52"/>
    <w:rsid w:val="00060B62"/>
    <w:rsid w:val="00062705"/>
    <w:rsid w:val="00073093"/>
    <w:rsid w:val="000750ED"/>
    <w:rsid w:val="000C29A1"/>
    <w:rsid w:val="000C3EE9"/>
    <w:rsid w:val="000C7621"/>
    <w:rsid w:val="000D09E1"/>
    <w:rsid w:val="000F43DA"/>
    <w:rsid w:val="000F4584"/>
    <w:rsid w:val="000F4EAD"/>
    <w:rsid w:val="00124E49"/>
    <w:rsid w:val="00135EE2"/>
    <w:rsid w:val="00147B34"/>
    <w:rsid w:val="00155013"/>
    <w:rsid w:val="00155F14"/>
    <w:rsid w:val="00161668"/>
    <w:rsid w:val="00171499"/>
    <w:rsid w:val="00174F1C"/>
    <w:rsid w:val="00175ADC"/>
    <w:rsid w:val="0019195C"/>
    <w:rsid w:val="00192885"/>
    <w:rsid w:val="001A3A73"/>
    <w:rsid w:val="001A5A14"/>
    <w:rsid w:val="001F0B9B"/>
    <w:rsid w:val="00203D02"/>
    <w:rsid w:val="00211E41"/>
    <w:rsid w:val="00211E48"/>
    <w:rsid w:val="00212430"/>
    <w:rsid w:val="00217015"/>
    <w:rsid w:val="00223097"/>
    <w:rsid w:val="00242482"/>
    <w:rsid w:val="002665CA"/>
    <w:rsid w:val="00276737"/>
    <w:rsid w:val="0027706E"/>
    <w:rsid w:val="002805D0"/>
    <w:rsid w:val="00287386"/>
    <w:rsid w:val="002B0188"/>
    <w:rsid w:val="002D6586"/>
    <w:rsid w:val="002D6FD5"/>
    <w:rsid w:val="002E5D79"/>
    <w:rsid w:val="002F5010"/>
    <w:rsid w:val="002F6D00"/>
    <w:rsid w:val="0030011A"/>
    <w:rsid w:val="0030313B"/>
    <w:rsid w:val="00314382"/>
    <w:rsid w:val="00334284"/>
    <w:rsid w:val="003376F4"/>
    <w:rsid w:val="00345038"/>
    <w:rsid w:val="00353CBC"/>
    <w:rsid w:val="00372E17"/>
    <w:rsid w:val="00387591"/>
    <w:rsid w:val="00390EBE"/>
    <w:rsid w:val="00395E44"/>
    <w:rsid w:val="003B0EB8"/>
    <w:rsid w:val="003C78C6"/>
    <w:rsid w:val="003E73D1"/>
    <w:rsid w:val="003F392A"/>
    <w:rsid w:val="00421B58"/>
    <w:rsid w:val="00424BF1"/>
    <w:rsid w:val="0045784C"/>
    <w:rsid w:val="004658AE"/>
    <w:rsid w:val="004714B2"/>
    <w:rsid w:val="00473DA7"/>
    <w:rsid w:val="00474A35"/>
    <w:rsid w:val="00494C01"/>
    <w:rsid w:val="004A20EF"/>
    <w:rsid w:val="004A591C"/>
    <w:rsid w:val="004A69FD"/>
    <w:rsid w:val="004A7729"/>
    <w:rsid w:val="004B2AAE"/>
    <w:rsid w:val="004D1724"/>
    <w:rsid w:val="004D7C2F"/>
    <w:rsid w:val="004E4886"/>
    <w:rsid w:val="00504ACB"/>
    <w:rsid w:val="00504FA5"/>
    <w:rsid w:val="0052401E"/>
    <w:rsid w:val="00537204"/>
    <w:rsid w:val="00541CE5"/>
    <w:rsid w:val="00541F22"/>
    <w:rsid w:val="005744FB"/>
    <w:rsid w:val="005950E7"/>
    <w:rsid w:val="00595B0F"/>
    <w:rsid w:val="00596B9A"/>
    <w:rsid w:val="005C290D"/>
    <w:rsid w:val="005C695B"/>
    <w:rsid w:val="005D1217"/>
    <w:rsid w:val="005D5398"/>
    <w:rsid w:val="005E330F"/>
    <w:rsid w:val="005F470F"/>
    <w:rsid w:val="00630B82"/>
    <w:rsid w:val="00645D40"/>
    <w:rsid w:val="00645D59"/>
    <w:rsid w:val="00652A8C"/>
    <w:rsid w:val="006652D1"/>
    <w:rsid w:val="006656F4"/>
    <w:rsid w:val="00672AD4"/>
    <w:rsid w:val="00690AC1"/>
    <w:rsid w:val="006916A8"/>
    <w:rsid w:val="006A109F"/>
    <w:rsid w:val="006A3086"/>
    <w:rsid w:val="006B7DF1"/>
    <w:rsid w:val="006D1EBC"/>
    <w:rsid w:val="006D5E62"/>
    <w:rsid w:val="006F4DB8"/>
    <w:rsid w:val="007019F6"/>
    <w:rsid w:val="00704349"/>
    <w:rsid w:val="00704E7C"/>
    <w:rsid w:val="00717BB8"/>
    <w:rsid w:val="00720EA9"/>
    <w:rsid w:val="007301FA"/>
    <w:rsid w:val="00756381"/>
    <w:rsid w:val="00774C01"/>
    <w:rsid w:val="00777DFC"/>
    <w:rsid w:val="007B3481"/>
    <w:rsid w:val="007B3962"/>
    <w:rsid w:val="007C786C"/>
    <w:rsid w:val="007F4801"/>
    <w:rsid w:val="00837578"/>
    <w:rsid w:val="008567F9"/>
    <w:rsid w:val="0086185A"/>
    <w:rsid w:val="00870A9E"/>
    <w:rsid w:val="00887E6A"/>
    <w:rsid w:val="0089025D"/>
    <w:rsid w:val="008917A9"/>
    <w:rsid w:val="008A5124"/>
    <w:rsid w:val="008B4E4E"/>
    <w:rsid w:val="008D7CCD"/>
    <w:rsid w:val="00905C82"/>
    <w:rsid w:val="00946190"/>
    <w:rsid w:val="0095030B"/>
    <w:rsid w:val="009600BF"/>
    <w:rsid w:val="00963966"/>
    <w:rsid w:val="00983972"/>
    <w:rsid w:val="009932C5"/>
    <w:rsid w:val="009A6C1C"/>
    <w:rsid w:val="009B0222"/>
    <w:rsid w:val="009C53F9"/>
    <w:rsid w:val="009C6CFF"/>
    <w:rsid w:val="009D72B2"/>
    <w:rsid w:val="009E511B"/>
    <w:rsid w:val="00A148C8"/>
    <w:rsid w:val="00A34713"/>
    <w:rsid w:val="00A363B4"/>
    <w:rsid w:val="00A53570"/>
    <w:rsid w:val="00A55AEF"/>
    <w:rsid w:val="00A6195F"/>
    <w:rsid w:val="00A62CB5"/>
    <w:rsid w:val="00A6661A"/>
    <w:rsid w:val="00A85967"/>
    <w:rsid w:val="00A91827"/>
    <w:rsid w:val="00A92EE7"/>
    <w:rsid w:val="00AB2AFB"/>
    <w:rsid w:val="00AF2B39"/>
    <w:rsid w:val="00B2462D"/>
    <w:rsid w:val="00B25515"/>
    <w:rsid w:val="00B32088"/>
    <w:rsid w:val="00B34A57"/>
    <w:rsid w:val="00B35131"/>
    <w:rsid w:val="00B43FC6"/>
    <w:rsid w:val="00B447A9"/>
    <w:rsid w:val="00B559F0"/>
    <w:rsid w:val="00B63A82"/>
    <w:rsid w:val="00B73065"/>
    <w:rsid w:val="00B76A9D"/>
    <w:rsid w:val="00BA65DF"/>
    <w:rsid w:val="00BD03B5"/>
    <w:rsid w:val="00BD12D4"/>
    <w:rsid w:val="00BD233B"/>
    <w:rsid w:val="00BD68FF"/>
    <w:rsid w:val="00BF19FB"/>
    <w:rsid w:val="00BF2368"/>
    <w:rsid w:val="00C044F0"/>
    <w:rsid w:val="00C055B7"/>
    <w:rsid w:val="00C23EAD"/>
    <w:rsid w:val="00C24158"/>
    <w:rsid w:val="00C44EB9"/>
    <w:rsid w:val="00C7206D"/>
    <w:rsid w:val="00C80737"/>
    <w:rsid w:val="00C82BC2"/>
    <w:rsid w:val="00C83964"/>
    <w:rsid w:val="00CA064F"/>
    <w:rsid w:val="00CB18EE"/>
    <w:rsid w:val="00CB55BB"/>
    <w:rsid w:val="00CB7F14"/>
    <w:rsid w:val="00CE34F8"/>
    <w:rsid w:val="00CE4E0B"/>
    <w:rsid w:val="00CE79B6"/>
    <w:rsid w:val="00CF05C2"/>
    <w:rsid w:val="00D1540C"/>
    <w:rsid w:val="00D221FD"/>
    <w:rsid w:val="00D257B6"/>
    <w:rsid w:val="00D27950"/>
    <w:rsid w:val="00D306C6"/>
    <w:rsid w:val="00D47344"/>
    <w:rsid w:val="00D54C12"/>
    <w:rsid w:val="00D55977"/>
    <w:rsid w:val="00D61D01"/>
    <w:rsid w:val="00D6600A"/>
    <w:rsid w:val="00D724D6"/>
    <w:rsid w:val="00D74C4A"/>
    <w:rsid w:val="00D80DF1"/>
    <w:rsid w:val="00D87513"/>
    <w:rsid w:val="00D90C6C"/>
    <w:rsid w:val="00D95814"/>
    <w:rsid w:val="00DC69B7"/>
    <w:rsid w:val="00DD37A9"/>
    <w:rsid w:val="00DE529B"/>
    <w:rsid w:val="00DF1FD3"/>
    <w:rsid w:val="00E070B8"/>
    <w:rsid w:val="00E31C07"/>
    <w:rsid w:val="00E62922"/>
    <w:rsid w:val="00E747D8"/>
    <w:rsid w:val="00E8584F"/>
    <w:rsid w:val="00EA14F6"/>
    <w:rsid w:val="00EA15EA"/>
    <w:rsid w:val="00EA2A26"/>
    <w:rsid w:val="00EB0DDF"/>
    <w:rsid w:val="00EB6F9A"/>
    <w:rsid w:val="00ED0A91"/>
    <w:rsid w:val="00EE0F68"/>
    <w:rsid w:val="00EE55AB"/>
    <w:rsid w:val="00EE642C"/>
    <w:rsid w:val="00EF1C6F"/>
    <w:rsid w:val="00EF3938"/>
    <w:rsid w:val="00EF6A03"/>
    <w:rsid w:val="00F04734"/>
    <w:rsid w:val="00F1598E"/>
    <w:rsid w:val="00F21F7B"/>
    <w:rsid w:val="00F275B3"/>
    <w:rsid w:val="00F334F5"/>
    <w:rsid w:val="00F33C91"/>
    <w:rsid w:val="00F52ADB"/>
    <w:rsid w:val="00F55F9C"/>
    <w:rsid w:val="00F57A44"/>
    <w:rsid w:val="00F6647C"/>
    <w:rsid w:val="00F66D9F"/>
    <w:rsid w:val="00F72329"/>
    <w:rsid w:val="00F843B3"/>
    <w:rsid w:val="00F94EE3"/>
    <w:rsid w:val="00F9647F"/>
    <w:rsid w:val="00F97941"/>
    <w:rsid w:val="00FB3476"/>
    <w:rsid w:val="00FB3F50"/>
    <w:rsid w:val="00FC06D6"/>
    <w:rsid w:val="00FD7058"/>
    <w:rsid w:val="00FD75EC"/>
    <w:rsid w:val="00FE1CE1"/>
    <w:rsid w:val="00FE5BF4"/>
    <w:rsid w:val="00FF3305"/>
    <w:rsid w:val="01607A86"/>
    <w:rsid w:val="01E2763B"/>
    <w:rsid w:val="02302B49"/>
    <w:rsid w:val="02496741"/>
    <w:rsid w:val="02F71C94"/>
    <w:rsid w:val="042A46B1"/>
    <w:rsid w:val="047252B7"/>
    <w:rsid w:val="0595462A"/>
    <w:rsid w:val="05E51BD6"/>
    <w:rsid w:val="068F085F"/>
    <w:rsid w:val="06C82279"/>
    <w:rsid w:val="06DD6518"/>
    <w:rsid w:val="081A4BED"/>
    <w:rsid w:val="09ED16A4"/>
    <w:rsid w:val="0A395A2B"/>
    <w:rsid w:val="0A781506"/>
    <w:rsid w:val="0A831A07"/>
    <w:rsid w:val="0B7A268C"/>
    <w:rsid w:val="0C550EC0"/>
    <w:rsid w:val="0ECF36D9"/>
    <w:rsid w:val="0FAC09AE"/>
    <w:rsid w:val="10675503"/>
    <w:rsid w:val="10D40D57"/>
    <w:rsid w:val="10F95EB1"/>
    <w:rsid w:val="11910BD1"/>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CC23E4"/>
    <w:rsid w:val="1AEA4822"/>
    <w:rsid w:val="1DBF43F1"/>
    <w:rsid w:val="1E46404A"/>
    <w:rsid w:val="1E8B07BA"/>
    <w:rsid w:val="1F167368"/>
    <w:rsid w:val="1FD5315A"/>
    <w:rsid w:val="20154AC9"/>
    <w:rsid w:val="20953A56"/>
    <w:rsid w:val="20B465EE"/>
    <w:rsid w:val="22461B1D"/>
    <w:rsid w:val="229A0D7C"/>
    <w:rsid w:val="22CC6E73"/>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30B46CA3"/>
    <w:rsid w:val="3108141F"/>
    <w:rsid w:val="316856A6"/>
    <w:rsid w:val="31CA3EE9"/>
    <w:rsid w:val="32103D80"/>
    <w:rsid w:val="32673A99"/>
    <w:rsid w:val="32CE2438"/>
    <w:rsid w:val="33B72E06"/>
    <w:rsid w:val="34732E94"/>
    <w:rsid w:val="34C942F5"/>
    <w:rsid w:val="34DE6D61"/>
    <w:rsid w:val="35780C7F"/>
    <w:rsid w:val="360343A0"/>
    <w:rsid w:val="36951834"/>
    <w:rsid w:val="36C55314"/>
    <w:rsid w:val="36D55DA2"/>
    <w:rsid w:val="373B78F2"/>
    <w:rsid w:val="395C094E"/>
    <w:rsid w:val="397841A2"/>
    <w:rsid w:val="39B865D7"/>
    <w:rsid w:val="39C35268"/>
    <w:rsid w:val="39FD2297"/>
    <w:rsid w:val="3ABA5314"/>
    <w:rsid w:val="3B0872A5"/>
    <w:rsid w:val="3C8B2D2A"/>
    <w:rsid w:val="3C9A09D4"/>
    <w:rsid w:val="3D036264"/>
    <w:rsid w:val="3D11386C"/>
    <w:rsid w:val="3D6345D6"/>
    <w:rsid w:val="3F0D5E27"/>
    <w:rsid w:val="3F510BAC"/>
    <w:rsid w:val="3F5B1A54"/>
    <w:rsid w:val="3FF763B7"/>
    <w:rsid w:val="4010633E"/>
    <w:rsid w:val="406929B7"/>
    <w:rsid w:val="41274A97"/>
    <w:rsid w:val="413855EC"/>
    <w:rsid w:val="41F73716"/>
    <w:rsid w:val="42314B4F"/>
    <w:rsid w:val="42321896"/>
    <w:rsid w:val="42932653"/>
    <w:rsid w:val="42A87774"/>
    <w:rsid w:val="436B0382"/>
    <w:rsid w:val="44B8486B"/>
    <w:rsid w:val="45047640"/>
    <w:rsid w:val="457C07BD"/>
    <w:rsid w:val="46463CE7"/>
    <w:rsid w:val="47EE3BCE"/>
    <w:rsid w:val="48882984"/>
    <w:rsid w:val="49FF0CFB"/>
    <w:rsid w:val="4B517DBB"/>
    <w:rsid w:val="4BEC58E9"/>
    <w:rsid w:val="4BF3571C"/>
    <w:rsid w:val="4CB45D69"/>
    <w:rsid w:val="4CCC2331"/>
    <w:rsid w:val="4D6954BF"/>
    <w:rsid w:val="50BC7B39"/>
    <w:rsid w:val="527C3191"/>
    <w:rsid w:val="53DD6BA8"/>
    <w:rsid w:val="53F21A3F"/>
    <w:rsid w:val="55B2288E"/>
    <w:rsid w:val="55CB4852"/>
    <w:rsid w:val="56325F7A"/>
    <w:rsid w:val="568E078F"/>
    <w:rsid w:val="579E20B3"/>
    <w:rsid w:val="58430EF3"/>
    <w:rsid w:val="58AA41B4"/>
    <w:rsid w:val="59AC6411"/>
    <w:rsid w:val="5A22632C"/>
    <w:rsid w:val="5AB04B75"/>
    <w:rsid w:val="5B494D63"/>
    <w:rsid w:val="5B9F36DE"/>
    <w:rsid w:val="5BDF11E0"/>
    <w:rsid w:val="5CA16867"/>
    <w:rsid w:val="5D15689C"/>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7EF40E6"/>
    <w:rsid w:val="68C7713A"/>
    <w:rsid w:val="68F242AC"/>
    <w:rsid w:val="6ABB4B62"/>
    <w:rsid w:val="6B73082E"/>
    <w:rsid w:val="6DD00F51"/>
    <w:rsid w:val="6E130B2A"/>
    <w:rsid w:val="6E5205D8"/>
    <w:rsid w:val="6EDA2E31"/>
    <w:rsid w:val="6FC77BC7"/>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C560D3A"/>
    <w:rsid w:val="7C605D84"/>
    <w:rsid w:val="7CB85B57"/>
    <w:rsid w:val="7CBB5016"/>
    <w:rsid w:val="7DAF3E53"/>
    <w:rsid w:val="7DD51D8B"/>
    <w:rsid w:val="7E2E3893"/>
    <w:rsid w:val="7E6B6F8A"/>
    <w:rsid w:val="7EFB95C8"/>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Char Char Char Char Char Char Char"/>
    <w:basedOn w:val="1"/>
    <w:qFormat/>
    <w:uiPriority w:val="0"/>
    <w:rPr>
      <w:rFonts w:ascii="Times New Roman" w:hAnsi="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1028</Words>
  <Characters>5861</Characters>
  <Lines>48</Lines>
  <Paragraphs>13</Paragraphs>
  <TotalTime>514</TotalTime>
  <ScaleCrop>false</ScaleCrop>
  <LinksUpToDate>false</LinksUpToDate>
  <CharactersWithSpaces>6876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Administrator.PC-20180123RJTY</dc:creator>
  <cp:lastModifiedBy>kylin</cp:lastModifiedBy>
  <cp:lastPrinted>2020-05-19T19:47:00Z</cp:lastPrinted>
  <dcterms:modified xsi:type="dcterms:W3CDTF">2024-03-01T16:10:49Z</dcterms:modified>
  <cp:revision>640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C7BB6A058981483BB478D2CCB1CEC1A7</vt:lpwstr>
  </property>
</Properties>
</file>