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襄汾县住房和城乡建设管理局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pStyle w:val="1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襄汾县住房和城乡建设管理局担负着住房和城乡建设、人民防空、城市管理三大职能。</w:t>
      </w: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规范全县房地产市场管理；城市建设；村镇建设及管理；建筑市场管理；建设工程质量安全监管；建筑节能；人民防空；城市管理综合行政执法；市政基础设施维护、管理；市容市貌、环境卫生管理；园林绿化管理；城市管理行业安全质量监管；新型墙体材料的使用管理以及县委、县人民政府交办的其他任务等职责。</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pStyle w:val="10"/>
        <w:rPr>
          <w:rFonts w:hint="eastAsia"/>
        </w:rPr>
      </w:pPr>
      <w:r>
        <w:rPr>
          <w:rFonts w:hint="eastAsia" w:ascii="仿宋_GB2312" w:hAnsi="仿宋_GB2312" w:eastAsia="仿宋_GB2312" w:cs="仿宋_GB2312"/>
          <w:sz w:val="32"/>
          <w:szCs w:val="32"/>
        </w:rPr>
        <w:t>内设机构办公室、行政审批股、城市建设管理股、建筑市场监管股、工程质量安全监管股、住房和房地产监管股、人防管理股、工程建设抗震消防管理股8个股室，下</w:t>
      </w:r>
      <w:r>
        <w:rPr>
          <w:rFonts w:hint="eastAsia" w:ascii="仿宋_GB2312" w:hAnsi="仿宋_GB2312" w:eastAsia="仿宋_GB2312" w:cs="仿宋_GB2312"/>
          <w:sz w:val="32"/>
          <w:szCs w:val="32"/>
          <w:lang w:eastAsia="zh-CN"/>
        </w:rPr>
        <w:t>属单位包括</w:t>
      </w:r>
      <w:r>
        <w:rPr>
          <w:rFonts w:hint="eastAsia" w:ascii="仿宋_GB2312" w:hAnsi="仿宋_GB2312" w:eastAsia="仿宋_GB2312" w:cs="仿宋_GB2312"/>
          <w:sz w:val="32"/>
          <w:szCs w:val="32"/>
        </w:rPr>
        <w:t>襄汾县城市管理综合行政执法队、襄汾县市政公用服务中心、襄汾县人防指挥保障中心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事业单位，直管襄汾县为民环卫服务有限公司、襄汾县恒洁水务有限公司、襄汾县清源供水有限公司、襄汾县阳瑞供热有限公司4个企业，监管万盛源天然气、煤气公司、尧舜馗热力公司、蓝天清洁公司4个民营企业。</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年主要工作任务及目标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我们将</w:t>
      </w:r>
      <w:r>
        <w:rPr>
          <w:rFonts w:hint="eastAsia" w:ascii="仿宋_GB2312" w:hAnsi="仿宋_GB2312" w:eastAsia="仿宋_GB2312" w:cs="仿宋_GB2312"/>
          <w:color w:val="auto"/>
          <w:sz w:val="32"/>
          <w:szCs w:val="32"/>
          <w:lang w:val="en-US" w:eastAsia="zh-CN"/>
        </w:rPr>
        <w:t>继续</w:t>
      </w:r>
      <w:r>
        <w:rPr>
          <w:rFonts w:hint="eastAsia" w:ascii="仿宋_GB2312" w:hAnsi="仿宋_GB2312" w:eastAsia="仿宋_GB2312" w:cs="仿宋_GB2312"/>
          <w:color w:val="auto"/>
          <w:sz w:val="32"/>
          <w:szCs w:val="32"/>
        </w:rPr>
        <w:t>以习近平新时代中国特色社会主义思想为指导，</w:t>
      </w:r>
      <w:r>
        <w:rPr>
          <w:rFonts w:hint="eastAsia" w:ascii="仿宋_GB2312" w:hAnsi="仿宋_GB2312" w:eastAsia="仿宋_GB2312" w:cs="仿宋_GB2312"/>
          <w:color w:val="auto"/>
          <w:sz w:val="32"/>
          <w:szCs w:val="32"/>
          <w:lang w:val="en-US" w:eastAsia="zh-CN"/>
        </w:rPr>
        <w:t>认真</w:t>
      </w:r>
      <w:r>
        <w:rPr>
          <w:rFonts w:hint="eastAsia" w:ascii="仿宋_GB2312" w:hAnsi="仿宋_GB2312" w:eastAsia="仿宋_GB2312" w:cs="仿宋_GB2312"/>
          <w:color w:val="auto"/>
          <w:sz w:val="32"/>
          <w:szCs w:val="32"/>
          <w:lang w:eastAsia="zh-CN"/>
        </w:rPr>
        <w:t>落实省市县部署要求</w:t>
      </w:r>
      <w:r>
        <w:rPr>
          <w:rFonts w:hint="eastAsia" w:ascii="仿宋_GB2312" w:hAnsi="仿宋_GB2312" w:eastAsia="仿宋_GB2312" w:cs="仿宋_GB2312"/>
          <w:i w:val="0"/>
          <w:caps w:val="0"/>
          <w:color w:val="auto"/>
          <w:spacing w:val="6"/>
          <w:sz w:val="32"/>
          <w:szCs w:val="32"/>
        </w:rPr>
        <w:t>，</w:t>
      </w:r>
      <w:r>
        <w:rPr>
          <w:rFonts w:hint="eastAsia" w:ascii="仿宋_GB2312" w:hAnsi="仿宋_GB2312" w:eastAsia="仿宋_GB2312" w:cs="仿宋_GB2312"/>
          <w:i w:val="0"/>
          <w:caps w:val="0"/>
          <w:color w:val="auto"/>
          <w:spacing w:val="6"/>
          <w:sz w:val="32"/>
          <w:szCs w:val="32"/>
          <w:lang w:val="en-US" w:eastAsia="zh-CN"/>
        </w:rPr>
        <w:t>以滨河公园为依托，</w:t>
      </w:r>
      <w:r>
        <w:rPr>
          <w:rFonts w:hint="eastAsia" w:ascii="仿宋_GB2312" w:hAnsi="仿宋_GB2312" w:eastAsia="仿宋_GB2312" w:cs="仿宋_GB2312"/>
          <w:color w:val="000000"/>
          <w:sz w:val="32"/>
        </w:rPr>
        <w:t>拉大城市框架，彻底打通城市道路微循环，</w:t>
      </w:r>
      <w:r>
        <w:rPr>
          <w:rFonts w:hint="eastAsia" w:ascii="仿宋_GB2312" w:hAnsi="仿宋_GB2312" w:eastAsia="仿宋_GB2312" w:cs="仿宋_GB2312"/>
          <w:color w:val="auto"/>
          <w:sz w:val="32"/>
          <w:szCs w:val="32"/>
          <w:lang w:val="en-US" w:eastAsia="zh-CN"/>
        </w:rPr>
        <w:t>构建城市道路骨架体系，进一步完善</w:t>
      </w:r>
      <w:r>
        <w:rPr>
          <w:rFonts w:hint="eastAsia" w:ascii="仿宋_GB2312" w:hAnsi="仿宋_GB2312" w:eastAsia="仿宋_GB2312" w:cs="仿宋_GB2312"/>
          <w:i w:val="0"/>
          <w:caps w:val="0"/>
          <w:color w:val="auto"/>
          <w:spacing w:val="6"/>
          <w:sz w:val="32"/>
          <w:szCs w:val="32"/>
        </w:rPr>
        <w:t>基础设施</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i w:val="0"/>
          <w:caps w:val="0"/>
          <w:color w:val="auto"/>
          <w:spacing w:val="6"/>
          <w:sz w:val="32"/>
          <w:szCs w:val="32"/>
        </w:rPr>
        <w:t>，</w:t>
      </w:r>
      <w:r>
        <w:rPr>
          <w:rFonts w:hint="eastAsia" w:ascii="仿宋_GB2312" w:hAnsi="仿宋_GB2312" w:eastAsia="仿宋_GB2312" w:cs="仿宋_GB2312"/>
          <w:i w:val="0"/>
          <w:caps w:val="0"/>
          <w:color w:val="auto"/>
          <w:spacing w:val="6"/>
          <w:sz w:val="32"/>
          <w:szCs w:val="32"/>
          <w:lang w:eastAsia="zh-CN"/>
        </w:rPr>
        <w:t>强化城市管理，</w:t>
      </w:r>
      <w:r>
        <w:rPr>
          <w:rFonts w:hint="eastAsia" w:ascii="仿宋_GB2312" w:hAnsi="仿宋_GB2312" w:eastAsia="仿宋_GB2312" w:cs="仿宋_GB2312"/>
          <w:color w:val="000000"/>
          <w:sz w:val="32"/>
        </w:rPr>
        <w:t>进一步提升城市品位和对外形象</w:t>
      </w:r>
      <w:r>
        <w:rPr>
          <w:rFonts w:hint="eastAsia" w:ascii="仿宋_GB2312" w:hAnsi="仿宋_GB2312" w:eastAsia="仿宋_GB2312" w:cs="仿宋_GB2312"/>
          <w:i w:val="0"/>
          <w:caps w:val="0"/>
          <w:color w:val="auto"/>
          <w:spacing w:val="6"/>
          <w:sz w:val="32"/>
          <w:szCs w:val="32"/>
        </w:rPr>
        <w:t>，</w:t>
      </w:r>
      <w:r>
        <w:rPr>
          <w:rFonts w:hint="eastAsia" w:ascii="仿宋_GB2312" w:hAnsi="仿宋_GB2312" w:eastAsia="仿宋_GB2312" w:cs="仿宋_GB2312"/>
          <w:color w:val="auto"/>
          <w:sz w:val="32"/>
          <w:szCs w:val="32"/>
          <w:lang w:val="en-US" w:eastAsia="zh-CN"/>
        </w:rPr>
        <w:t>全力打造宜居宜业新襄汾。</w:t>
      </w:r>
    </w:p>
    <w:p>
      <w:pPr>
        <w:pStyle w:val="5"/>
        <w:spacing w:before="0" w:beforeAutospacing="0" w:after="0" w:afterAutospacing="0" w:line="52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（一）加快推进城市基础设施重点项目建设。</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rPr>
        <w:t>按照高起点规划、高标准建设、高效能管理的要求，推进重点工程和民生工程建设。</w:t>
      </w:r>
      <w:r>
        <w:rPr>
          <w:rFonts w:hint="eastAsia" w:ascii="仿宋_GB2312" w:hAnsi="仿宋_GB2312" w:eastAsia="仿宋_GB2312" w:cs="仿宋_GB2312"/>
          <w:b/>
          <w:bCs/>
          <w:color w:val="000000"/>
          <w:spacing w:val="6"/>
          <w:sz w:val="32"/>
          <w:szCs w:val="32"/>
          <w:lang w:val="en-US" w:eastAsia="zh-CN"/>
        </w:rPr>
        <w:t>一是</w:t>
      </w:r>
      <w:r>
        <w:rPr>
          <w:rFonts w:hint="eastAsia" w:ascii="仿宋_GB2312" w:hAnsi="仿宋_GB2312" w:eastAsia="仿宋_GB2312" w:cs="仿宋_GB2312"/>
          <w:color w:val="000000"/>
          <w:spacing w:val="6"/>
          <w:sz w:val="32"/>
          <w:szCs w:val="32"/>
        </w:rPr>
        <w:t>继续实施丁陶大道南延、</w:t>
      </w:r>
      <w:r>
        <w:rPr>
          <w:rFonts w:hint="eastAsia" w:ascii="仿宋_GB2312" w:hAnsi="仿宋_GB2312" w:eastAsia="仿宋_GB2312" w:cs="仿宋_GB2312"/>
          <w:color w:val="000000"/>
          <w:spacing w:val="6"/>
          <w:sz w:val="32"/>
          <w:szCs w:val="32"/>
          <w:lang w:eastAsia="zh-CN"/>
        </w:rPr>
        <w:t>河东文体广场</w:t>
      </w:r>
      <w:r>
        <w:rPr>
          <w:rFonts w:hint="eastAsia" w:ascii="仿宋_GB2312" w:hAnsi="仿宋_GB2312" w:eastAsia="仿宋_GB2312" w:cs="仿宋_GB2312"/>
          <w:color w:val="000000"/>
          <w:spacing w:val="6"/>
          <w:sz w:val="32"/>
          <w:szCs w:val="32"/>
          <w:lang w:val="en-US" w:eastAsia="zh-CN"/>
        </w:rPr>
        <w:t>等</w:t>
      </w:r>
      <w:r>
        <w:rPr>
          <w:rFonts w:hint="eastAsia" w:ascii="仿宋_GB2312" w:hAnsi="仿宋_GB2312" w:eastAsia="仿宋_GB2312" w:cs="仿宋_GB2312"/>
          <w:color w:val="000000"/>
          <w:spacing w:val="6"/>
          <w:sz w:val="32"/>
          <w:szCs w:val="32"/>
        </w:rPr>
        <w:t>重点工程</w:t>
      </w:r>
      <w:r>
        <w:rPr>
          <w:rFonts w:hint="eastAsia" w:ascii="仿宋_GB2312" w:hAnsi="仿宋_GB2312" w:eastAsia="仿宋_GB2312" w:cs="仿宋_GB2312"/>
          <w:color w:val="000000"/>
          <w:spacing w:val="6"/>
          <w:sz w:val="32"/>
          <w:szCs w:val="32"/>
          <w:lang w:eastAsia="zh-CN"/>
        </w:rPr>
        <w:t>项目建设。</w:t>
      </w:r>
      <w:r>
        <w:rPr>
          <w:rFonts w:hint="eastAsia" w:ascii="仿宋_GB2312" w:hAnsi="仿宋_GB2312" w:eastAsia="仿宋_GB2312" w:cs="仿宋_GB2312"/>
          <w:b/>
          <w:bCs/>
          <w:color w:val="000000"/>
          <w:spacing w:val="6"/>
          <w:sz w:val="32"/>
          <w:szCs w:val="32"/>
          <w:lang w:val="en-US" w:eastAsia="zh-CN"/>
        </w:rPr>
        <w:t>二是</w:t>
      </w:r>
      <w:r>
        <w:rPr>
          <w:rFonts w:hint="eastAsia" w:ascii="仿宋_GB2312" w:hAnsi="仿宋_GB2312" w:eastAsia="仿宋_GB2312" w:cs="仿宋_GB2312"/>
          <w:b w:val="0"/>
          <w:bCs w:val="0"/>
          <w:color w:val="000000"/>
          <w:spacing w:val="6"/>
          <w:sz w:val="32"/>
          <w:szCs w:val="32"/>
          <w:lang w:val="en-US" w:eastAsia="zh-CN"/>
        </w:rPr>
        <w:t>实施尧风二街西延、横十七街、纵十路、纵十九路、纵二十九路等</w:t>
      </w:r>
      <w:r>
        <w:rPr>
          <w:rFonts w:hint="eastAsia" w:ascii="仿宋_GB2312" w:hAnsi="仿宋_GB2312" w:eastAsia="仿宋_GB2312" w:cs="仿宋_GB2312"/>
          <w:bCs/>
          <w:spacing w:val="11"/>
          <w:sz w:val="32"/>
          <w:szCs w:val="32"/>
        </w:rPr>
        <w:t>河西微循环道路建设工程</w:t>
      </w:r>
      <w:r>
        <w:rPr>
          <w:rFonts w:hint="eastAsia" w:ascii="仿宋_GB2312" w:hAnsi="仿宋_GB2312" w:eastAsia="仿宋_GB2312" w:cs="仿宋_GB2312"/>
          <w:bCs/>
          <w:spacing w:val="11"/>
          <w:sz w:val="32"/>
          <w:szCs w:val="32"/>
          <w:lang w:eastAsia="zh-CN"/>
        </w:rPr>
        <w:t>。</w:t>
      </w:r>
      <w:r>
        <w:rPr>
          <w:rFonts w:hint="eastAsia" w:ascii="仿宋_GB2312" w:hAnsi="仿宋_GB2312" w:eastAsia="仿宋_GB2312" w:cs="仿宋_GB2312"/>
          <w:b/>
          <w:bCs w:val="0"/>
          <w:spacing w:val="11"/>
          <w:sz w:val="32"/>
          <w:szCs w:val="32"/>
          <w:lang w:val="en-US" w:eastAsia="zh-CN"/>
        </w:rPr>
        <w:t>三是</w:t>
      </w:r>
      <w:r>
        <w:rPr>
          <w:rFonts w:hint="eastAsia" w:ascii="仿宋_GB2312" w:hAnsi="仿宋_GB2312" w:eastAsia="仿宋_GB2312" w:cs="仿宋_GB2312"/>
          <w:sz w:val="32"/>
          <w:szCs w:val="32"/>
        </w:rPr>
        <w:t>继续加大老旧小区改造力度，对房产家属楼、东风厂家属楼、五交化家属楼、贸易货栈家属楼、广电家属楼、棉加厂家属楼等6个老旧小区实施改造，总投资约880万元。</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rPr>
        <w:t>实施河东区雨污分流改造工程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对河东区龙山路、南大街、车站街等八条道路实施雨污分流改造，改造雨污管线6820米，新增雨污管线11460米，路面恢复7.22万平米，总投资约17504万元。</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rPr>
        <w:t>推进襄汾纺织厂棚户区改造项目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对襄纺生活区平排房、改造楼、母子楼、单身楼及活动中心、幼儿园、医院等相关公房区域实施改造，新建总建筑面积93556平米。</w:t>
      </w:r>
      <w:r>
        <w:rPr>
          <w:rFonts w:hint="eastAsia" w:ascii="仿宋_GB2312" w:hAnsi="仿宋_GB2312" w:eastAsia="仿宋_GB2312" w:cs="仿宋_GB2312"/>
          <w:b/>
          <w:bCs/>
          <w:color w:val="000000"/>
          <w:spacing w:val="6"/>
          <w:sz w:val="32"/>
          <w:szCs w:val="32"/>
          <w:lang w:val="en-US" w:eastAsia="zh-CN"/>
        </w:rPr>
        <w:t>六是</w:t>
      </w:r>
      <w:r>
        <w:rPr>
          <w:rFonts w:hint="eastAsia" w:ascii="仿宋_GB2312" w:hAnsi="仿宋_GB2312" w:eastAsia="仿宋_GB2312" w:cs="仿宋_GB2312"/>
          <w:color w:val="000000"/>
          <w:spacing w:val="6"/>
          <w:sz w:val="32"/>
          <w:szCs w:val="32"/>
          <w:lang w:eastAsia="zh-CN"/>
        </w:rPr>
        <w:t>重点抓好建制镇污水、农村垃圾治理、</w:t>
      </w:r>
      <w:r>
        <w:rPr>
          <w:rFonts w:hint="eastAsia" w:ascii="仿宋_GB2312" w:hAnsi="仿宋_GB2312" w:eastAsia="仿宋_GB2312" w:cs="仿宋_GB2312"/>
          <w:color w:val="000000"/>
          <w:spacing w:val="6"/>
          <w:sz w:val="32"/>
          <w:szCs w:val="32"/>
          <w:lang w:val="en-US" w:eastAsia="zh-CN"/>
        </w:rPr>
        <w:t>天然气置换煤气</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餐厨垃圾处理厂建设</w:t>
      </w:r>
      <w:r>
        <w:rPr>
          <w:rFonts w:hint="eastAsia" w:ascii="仿宋_GB2312" w:hAnsi="仿宋_GB2312" w:eastAsia="仿宋_GB2312" w:cs="仿宋_GB2312"/>
          <w:color w:val="000000"/>
          <w:spacing w:val="6"/>
          <w:sz w:val="32"/>
          <w:szCs w:val="32"/>
          <w:lang w:eastAsia="zh-CN"/>
        </w:rPr>
        <w:t>等民生工程。</w:t>
      </w:r>
      <w:r>
        <w:rPr>
          <w:rFonts w:hint="eastAsia" w:ascii="仿宋_GB2312" w:hAnsi="仿宋_GB2312" w:eastAsia="仿宋_GB2312" w:cs="仿宋_GB2312"/>
          <w:b/>
          <w:bCs/>
          <w:color w:val="000000"/>
          <w:spacing w:val="6"/>
          <w:sz w:val="32"/>
          <w:szCs w:val="32"/>
          <w:lang w:val="en-US" w:eastAsia="zh-CN"/>
        </w:rPr>
        <w:t>七是</w:t>
      </w:r>
      <w:r>
        <w:rPr>
          <w:rFonts w:hint="eastAsia" w:ascii="仿宋_GB2312" w:hAnsi="仿宋_GB2312" w:eastAsia="仿宋_GB2312" w:cs="仿宋_GB2312"/>
          <w:i w:val="0"/>
          <w:caps w:val="0"/>
          <w:color w:val="000000"/>
          <w:spacing w:val="6"/>
          <w:sz w:val="32"/>
          <w:szCs w:val="32"/>
        </w:rPr>
        <w:t>加快住房建设</w:t>
      </w:r>
      <w:r>
        <w:rPr>
          <w:rFonts w:hint="eastAsia" w:ascii="仿宋_GB2312" w:hAnsi="仿宋_GB2312" w:eastAsia="仿宋_GB2312" w:cs="仿宋_GB2312"/>
          <w:i w:val="0"/>
          <w:caps w:val="0"/>
          <w:color w:val="000000"/>
          <w:spacing w:val="6"/>
          <w:sz w:val="32"/>
          <w:szCs w:val="32"/>
          <w:lang w:eastAsia="zh-CN"/>
        </w:rPr>
        <w:t>，</w:t>
      </w:r>
      <w:r>
        <w:rPr>
          <w:rFonts w:hint="eastAsia" w:ascii="仿宋_GB2312" w:hAnsi="仿宋_GB2312" w:eastAsia="仿宋_GB2312" w:cs="仿宋_GB2312"/>
          <w:i w:val="0"/>
          <w:caps w:val="0"/>
          <w:color w:val="000000"/>
          <w:spacing w:val="6"/>
          <w:sz w:val="32"/>
          <w:szCs w:val="32"/>
        </w:rPr>
        <w:t>完成</w:t>
      </w:r>
      <w:r>
        <w:rPr>
          <w:rFonts w:hint="eastAsia" w:ascii="仿宋_GB2312" w:hAnsi="仿宋_GB2312" w:eastAsia="仿宋_GB2312" w:cs="仿宋_GB2312"/>
          <w:i w:val="0"/>
          <w:caps w:val="0"/>
          <w:color w:val="000000"/>
          <w:spacing w:val="6"/>
          <w:sz w:val="32"/>
          <w:szCs w:val="32"/>
          <w:lang w:val="en-US" w:eastAsia="zh-CN"/>
        </w:rPr>
        <w:t>尧星紫苑、金昆名园、天和嘉园、碧玉琨园、金域一号、星原家属楼</w:t>
      </w:r>
      <w:r>
        <w:rPr>
          <w:rFonts w:hint="eastAsia" w:ascii="仿宋_GB2312" w:hAnsi="仿宋_GB2312" w:eastAsia="仿宋_GB2312" w:cs="仿宋_GB2312"/>
          <w:i w:val="0"/>
          <w:caps w:val="0"/>
          <w:color w:val="000000"/>
          <w:spacing w:val="6"/>
          <w:sz w:val="32"/>
          <w:szCs w:val="32"/>
        </w:rPr>
        <w:t>等住宅小区建设，进一步满足群众住房需求</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提升城市综合承载力和群众幸福指数</w:t>
      </w:r>
      <w:r>
        <w:rPr>
          <w:rFonts w:hint="eastAsia" w:ascii="仿宋_GB2312" w:hAnsi="仿宋_GB2312" w:eastAsia="仿宋_GB2312" w:cs="仿宋_GB2312"/>
          <w:i w:val="0"/>
          <w:caps w:val="0"/>
          <w:color w:val="000000"/>
          <w:spacing w:val="6"/>
          <w:sz w:val="32"/>
          <w:szCs w:val="32"/>
          <w:lang w:eastAsia="zh-CN"/>
        </w:rPr>
        <w:t>。</w:t>
      </w:r>
      <w:r>
        <w:rPr>
          <w:rFonts w:hint="eastAsia" w:ascii="仿宋_GB2312" w:hAnsi="仿宋_GB2312" w:eastAsia="仿宋_GB2312" w:cs="仿宋_GB2312"/>
          <w:b/>
          <w:bCs/>
          <w:i w:val="0"/>
          <w:caps w:val="0"/>
          <w:color w:val="000000"/>
          <w:spacing w:val="6"/>
          <w:sz w:val="32"/>
          <w:szCs w:val="32"/>
          <w:lang w:val="en-US" w:eastAsia="zh-CN"/>
        </w:rPr>
        <w:t>八是</w:t>
      </w:r>
      <w:r>
        <w:rPr>
          <w:rFonts w:hint="eastAsia" w:ascii="仿宋_GB2312" w:hAnsi="仿宋_GB2312" w:eastAsia="仿宋_GB2312" w:cs="仿宋_GB2312"/>
          <w:b w:val="0"/>
          <w:bCs w:val="0"/>
          <w:i w:val="0"/>
          <w:caps w:val="0"/>
          <w:color w:val="000000"/>
          <w:spacing w:val="6"/>
          <w:sz w:val="32"/>
          <w:szCs w:val="32"/>
          <w:lang w:val="en-US" w:eastAsia="zh-CN"/>
        </w:rPr>
        <w:t>继续完成</w:t>
      </w:r>
      <w:r>
        <w:rPr>
          <w:rFonts w:hint="eastAsia" w:ascii="仿宋_GB2312" w:hAnsi="仿宋_GB2312" w:eastAsia="仿宋_GB2312" w:cs="仿宋_GB2312"/>
          <w:b w:val="0"/>
          <w:i w:val="0"/>
          <w:caps w:val="0"/>
          <w:spacing w:val="0"/>
          <w:w w:val="100"/>
          <w:sz w:val="32"/>
          <w:szCs w:val="32"/>
          <w:lang w:val="en-US" w:eastAsia="zh-CN"/>
        </w:rPr>
        <w:t>县城桥西街、龙山路、丁陶大道、中心广场等15条街巷的绿地进行补植工作，提高绿地管护标准。</w:t>
      </w:r>
      <w:r>
        <w:rPr>
          <w:rFonts w:hint="eastAsia" w:ascii="仿宋_GB2312" w:hAnsi="仿宋_GB2312" w:eastAsia="仿宋_GB2312" w:cs="仿宋_GB2312"/>
          <w:b/>
          <w:bCs/>
          <w:i w:val="0"/>
          <w:caps w:val="0"/>
          <w:color w:val="000000"/>
          <w:spacing w:val="6"/>
          <w:sz w:val="32"/>
          <w:szCs w:val="32"/>
          <w:lang w:val="en-US" w:eastAsia="zh-CN"/>
        </w:rPr>
        <w:t>九是</w:t>
      </w:r>
      <w:r>
        <w:rPr>
          <w:rFonts w:hint="eastAsia" w:ascii="仿宋_GB2312" w:hAnsi="仿宋_GB2312" w:eastAsia="仿宋_GB2312" w:cs="仿宋_GB2312"/>
          <w:b w:val="0"/>
          <w:bCs w:val="0"/>
          <w:i w:val="0"/>
          <w:caps w:val="0"/>
          <w:color w:val="000000"/>
          <w:spacing w:val="6"/>
          <w:sz w:val="32"/>
          <w:szCs w:val="32"/>
          <w:lang w:val="en-US" w:eastAsia="zh-CN"/>
        </w:rPr>
        <w:t>完成</w:t>
      </w:r>
      <w:r>
        <w:rPr>
          <w:rFonts w:hint="eastAsia" w:ascii="仿宋_GB2312" w:hAnsi="仿宋_GB2312" w:eastAsia="仿宋_GB2312" w:cs="仿宋_GB2312"/>
          <w:b w:val="0"/>
          <w:i w:val="0"/>
          <w:caps w:val="0"/>
          <w:spacing w:val="0"/>
          <w:w w:val="100"/>
          <w:sz w:val="32"/>
          <w:szCs w:val="32"/>
          <w:lang w:val="en-US" w:eastAsia="zh-CN"/>
        </w:rPr>
        <w:t>好城乡房屋、县城道路、“三供两处理一公园”等市政基础设施灾后</w:t>
      </w:r>
      <w:r>
        <w:rPr>
          <w:rFonts w:hint="eastAsia" w:ascii="仿宋_GB2312" w:hAnsi="仿宋_GB2312" w:eastAsia="仿宋_GB2312" w:cs="仿宋_GB2312"/>
          <w:b w:val="0"/>
          <w:i w:val="0"/>
          <w:caps w:val="0"/>
          <w:spacing w:val="0"/>
          <w:w w:val="100"/>
          <w:sz w:val="32"/>
          <w:szCs w:val="32"/>
        </w:rPr>
        <w:t>恢复重建工作</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bCs/>
          <w:i w:val="0"/>
          <w:caps w:val="0"/>
          <w:color w:val="000000"/>
          <w:spacing w:val="6"/>
          <w:sz w:val="32"/>
          <w:szCs w:val="32"/>
          <w:lang w:val="en-US" w:eastAsia="zh-CN"/>
        </w:rPr>
        <w:t>十是</w:t>
      </w:r>
      <w:r>
        <w:rPr>
          <w:rFonts w:hint="eastAsia" w:ascii="仿宋_GB2312" w:hAnsi="仿宋_GB2312" w:eastAsia="仿宋_GB2312" w:cs="仿宋_GB2312"/>
          <w:i w:val="0"/>
          <w:caps w:val="0"/>
          <w:color w:val="000000"/>
          <w:spacing w:val="6"/>
          <w:sz w:val="32"/>
          <w:szCs w:val="32"/>
          <w:lang w:val="en-US" w:eastAsia="zh-CN"/>
        </w:rPr>
        <w:t>进一步落实防汛责任，细化防汛措施，全力以赴做好“防大汛、抗大险、救大灾”的各项准备工作。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lang w:eastAsia="zh-CN"/>
        </w:rPr>
        <w:t>同时，着力解决好石油公司、襄公名邸、老党校家属区棚改区、桥西街等历史遗留问题。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4"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（二）切实提高城市精细化管理水平。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300" w:firstLine="667"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一是全面提升城市环境卫生质量。</w:t>
      </w:r>
      <w:r>
        <w:rPr>
          <w:rFonts w:hint="eastAsia" w:ascii="仿宋_GB2312" w:hAnsi="仿宋_GB2312" w:eastAsia="仿宋_GB2312" w:cs="仿宋_GB2312"/>
          <w:spacing w:val="6"/>
          <w:sz w:val="32"/>
          <w:szCs w:val="32"/>
        </w:rPr>
        <w:t>一方面，明确责任分工，实行定人、定责、定岗、定区域、定路段的岗位责任制，提升清扫保洁质量。另一方面，</w:t>
      </w:r>
      <w:r>
        <w:rPr>
          <w:rFonts w:hint="eastAsia" w:ascii="仿宋_GB2312" w:hAnsi="仿宋_GB2312" w:eastAsia="仿宋_GB2312" w:cs="仿宋_GB2312"/>
          <w:spacing w:val="6"/>
          <w:sz w:val="32"/>
          <w:szCs w:val="32"/>
          <w:lang w:val="en-US" w:eastAsia="zh-CN"/>
        </w:rPr>
        <w:t>推进垃圾分类工作，</w:t>
      </w:r>
      <w:r>
        <w:rPr>
          <w:rFonts w:hint="eastAsia" w:ascii="仿宋_GB2312" w:hAnsi="仿宋_GB2312" w:eastAsia="仿宋_GB2312" w:cs="仿宋_GB2312"/>
          <w:spacing w:val="6"/>
          <w:sz w:val="32"/>
          <w:szCs w:val="32"/>
        </w:rPr>
        <w:t>细化生活垃圾、建筑垃圾清运处置办法，进一步规范垃圾清运处置工作。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7"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二是努力改善县城市容市貌。</w:t>
      </w:r>
      <w:r>
        <w:rPr>
          <w:rFonts w:hint="eastAsia" w:ascii="仿宋_GB2312" w:hAnsi="仿宋_GB2312" w:eastAsia="仿宋_GB2312" w:cs="仿宋_GB2312"/>
          <w:spacing w:val="6"/>
          <w:sz w:val="32"/>
          <w:szCs w:val="32"/>
        </w:rPr>
        <w:t>加强市容市貌专项整治工作，坚持以“市容整洁、景观优美、管理规范、市民满意”为目标，改进整治方式，以主要道路为载体，集中整治户外广告、流动摊担、店外经营、“牛皮癣”、</w:t>
      </w:r>
      <w:r>
        <w:rPr>
          <w:rFonts w:hint="eastAsia" w:ascii="仿宋_GB2312" w:hAnsi="仿宋_GB2312" w:eastAsia="仿宋_GB2312" w:cs="仿宋_GB2312"/>
          <w:spacing w:val="6"/>
          <w:sz w:val="32"/>
          <w:szCs w:val="32"/>
          <w:lang w:val="en-US" w:eastAsia="zh-CN"/>
        </w:rPr>
        <w:t>餐饮油烟</w:t>
      </w:r>
      <w:r>
        <w:rPr>
          <w:rFonts w:hint="eastAsia" w:ascii="仿宋_GB2312" w:hAnsi="仿宋_GB2312" w:eastAsia="仿宋_GB2312" w:cs="仿宋_GB2312"/>
          <w:spacing w:val="6"/>
          <w:sz w:val="32"/>
          <w:szCs w:val="32"/>
        </w:rPr>
        <w:t>等难点问题。深入开展城市的亮化、绿化和美化工作，按照精细化的要求，努力打造更加美丽、整洁、有序，生态文明的人居环境。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7"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三是切实保障市政设施正常运行。</w:t>
      </w:r>
      <w:r>
        <w:rPr>
          <w:rFonts w:hint="eastAsia" w:ascii="仿宋_GB2312" w:hAnsi="仿宋_GB2312" w:eastAsia="仿宋_GB2312" w:cs="仿宋_GB2312"/>
          <w:spacing w:val="6"/>
          <w:sz w:val="32"/>
          <w:szCs w:val="32"/>
        </w:rPr>
        <w:t>提高市政设施整体管理水平，做到管理精细化、工作流程化、操作规范化；明确责任，实行定人、定路段、定职责、定标准，建立市政设施精细化管理长效机制，实现市政设施养护无缝隙、全覆盖、无死角管理。</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b/>
          <w:bCs/>
          <w:color w:val="000000"/>
          <w:spacing w:val="6"/>
          <w:sz w:val="32"/>
          <w:szCs w:val="32"/>
        </w:rPr>
        <w:t>四是加大扬尘治理力度。</w:t>
      </w:r>
      <w:r>
        <w:rPr>
          <w:rFonts w:hint="eastAsia" w:ascii="仿宋_GB2312" w:hAnsi="仿宋_GB2312" w:eastAsia="仿宋_GB2312" w:cs="仿宋_GB2312"/>
          <w:color w:val="000000"/>
          <w:spacing w:val="6"/>
          <w:sz w:val="32"/>
          <w:szCs w:val="32"/>
        </w:rPr>
        <w:t>按照“六个百分百”和“十个必须”要求，结合大气污染防治和生态环境治理目标任务，进一步细化任务，压实责任</w:t>
      </w:r>
      <w:r>
        <w:rPr>
          <w:rFonts w:hint="eastAsia" w:ascii="仿宋_GB2312" w:hAnsi="仿宋_GB2312" w:eastAsia="仿宋_GB2312" w:cs="仿宋_GB2312"/>
          <w:color w:val="000000"/>
          <w:spacing w:val="6"/>
          <w:sz w:val="32"/>
          <w:szCs w:val="32"/>
          <w:shd w:val="clear" w:color="auto" w:fill="FFFFFF"/>
        </w:rPr>
        <w:t>，强化措施，从严管控,确保县城环境卫生质量有效改善。</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仿宋_GB2312" w:eastAsia="仿宋_GB2312" w:cs="仿宋_GB2312"/>
          <w:b/>
          <w:bCs/>
          <w:color w:val="000000"/>
          <w:spacing w:val="6"/>
          <w:sz w:val="32"/>
          <w:szCs w:val="32"/>
          <w:shd w:val="clear" w:color="auto" w:fill="FFFFFF"/>
        </w:rPr>
        <w:t>五是严厉查处违法建设行为。</w:t>
      </w:r>
      <w:r>
        <w:rPr>
          <w:rFonts w:hint="eastAsia" w:ascii="仿宋_GB2312" w:hAnsi="仿宋_GB2312" w:eastAsia="仿宋_GB2312" w:cs="仿宋_GB2312"/>
          <w:color w:val="000000"/>
          <w:spacing w:val="6"/>
          <w:sz w:val="32"/>
          <w:szCs w:val="32"/>
        </w:rPr>
        <w:t>进一步加强住建法律法规的宣传工作，加强执法人员培训，切实提高执法人员的执法水平和执法能力；严格</w:t>
      </w:r>
      <w:r>
        <w:rPr>
          <w:rFonts w:hint="eastAsia" w:ascii="仿宋_GB2312" w:hAnsi="仿宋_GB2312" w:eastAsia="仿宋_GB2312" w:cs="仿宋_GB2312"/>
          <w:color w:val="000000"/>
          <w:spacing w:val="6"/>
          <w:sz w:val="32"/>
          <w:szCs w:val="32"/>
          <w:shd w:val="clear" w:color="auto" w:fill="FFFFFF"/>
        </w:rPr>
        <w:t>实行全天候、全覆盖、无缝隙监控，及时发现县城区域内的各类违法建设，做到早发现、早制止、早预防，力求把违法建设控制在萌芽状态。</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rPr>
        <w:t>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rPr>
        <w:t>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rPr>
        <w:t>“三公”经费预算财政拨款情况表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rPr>
        <w:t>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rPr>
        <w:t>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eastAsia="zh-CN"/>
        </w:rPr>
        <w:t>襄汾县住房和城乡建设管理局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29087.56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6027.23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26.14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2022年度支出总计</w:t>
      </w:r>
      <w:r>
        <w:rPr>
          <w:rFonts w:hint="eastAsia" w:ascii="仿宋_GB2312" w:hAnsi="楷体" w:eastAsia="仿宋_GB2312"/>
          <w:kern w:val="0"/>
          <w:sz w:val="32"/>
          <w:szCs w:val="32"/>
          <w:u w:val="single"/>
          <w:lang w:val="en-US" w:eastAsia="zh-CN"/>
        </w:rPr>
        <w:t>29087.56</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6027.23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26.14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29087.56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29087.56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15826.27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9740.88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160.07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本年度预算调整蓝天清扫保洁经费、富瑞棚户区还本付息、供热补贴等项目的资金性质</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13261.28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3713.66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21.88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本年度调整蓝天清扫保洁经费、富瑞棚户区还本付息、供热补贴等项目的资金性质</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adjustRightInd w:val="0"/>
        <w:snapToGrid w:val="0"/>
        <w:spacing w:line="560" w:lineRule="exact"/>
        <w:ind w:firstLine="640"/>
        <w:textAlignment w:val="auto"/>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adjustRightInd w:val="0"/>
        <w:snapToGrid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adjustRightInd w:val="0"/>
        <w:snapToGrid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29087.56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129.21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5.04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4.06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本年度人员保险基数调整</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卫生健康</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45.17</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4.37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本年度人员保险基数调整</w:t>
      </w:r>
      <w:r>
        <w:rPr>
          <w:rFonts w:hint="eastAsia" w:ascii="仿宋_GB2312" w:hAnsi="楷体" w:eastAsia="仿宋_GB2312"/>
          <w:kern w:val="0"/>
          <w:sz w:val="32"/>
          <w:szCs w:val="32"/>
        </w:rPr>
        <w:t>。</w:t>
      </w:r>
    </w:p>
    <w:p>
      <w:pPr>
        <w:widowControl/>
        <w:spacing w:line="560" w:lineRule="exact"/>
        <w:ind w:firstLine="640"/>
        <w:rPr>
          <w:rFonts w:hint="eastAsia"/>
          <w:lang w:eastAsia="zh-CN"/>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城乡社区</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28307.4</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蓝天清扫保洁经费，“煤改气”运行费用，供热补贴，桥西街遗留问题，丁陶大道南延、河西路网建设工程费用等</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8469.56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42.69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本年度增加供热补贴，桥西街遗留问题，丁陶大道南延、河西路网建设工程等项目支出</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住房保障</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99.79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住房保障及人员支出、老旧小区改造项目</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162.39</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61.94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本年度减少老旧小区改造项目支出</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债务付息</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505.99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专项债券本金及利息支出</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highlight w:val="none"/>
        </w:rPr>
      </w:pPr>
      <w:r>
        <w:rPr>
          <w:rFonts w:hint="eastAsia" w:ascii="仿宋_GB2312" w:hAnsi="楷体" w:eastAsia="仿宋_GB2312"/>
          <w:kern w:val="0"/>
          <w:sz w:val="32"/>
          <w:szCs w:val="32"/>
          <w:highlight w:val="none"/>
          <w:lang w:val="en-US" w:eastAsia="zh-CN"/>
        </w:rPr>
        <w:t>6</w:t>
      </w:r>
      <w:r>
        <w:rPr>
          <w:rFonts w:hint="eastAsia" w:ascii="仿宋_GB2312" w:hAnsi="楷体" w:eastAsia="仿宋_GB2312"/>
          <w:kern w:val="0"/>
          <w:sz w:val="32"/>
          <w:szCs w:val="32"/>
          <w:highlight w:val="none"/>
        </w:rPr>
        <w:t>．基本支出预算数为</w:t>
      </w:r>
      <w:r>
        <w:rPr>
          <w:rFonts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single"/>
          <w:lang w:val="en-US" w:eastAsia="zh-CN"/>
        </w:rPr>
        <w:t>921.</w:t>
      </w:r>
      <w:bookmarkStart w:id="0" w:name="_GoBack"/>
      <w:bookmarkEnd w:id="0"/>
      <w:r>
        <w:rPr>
          <w:rFonts w:hint="eastAsia" w:ascii="仿宋_GB2312" w:hAnsi="楷体" w:eastAsia="仿宋_GB2312"/>
          <w:kern w:val="0"/>
          <w:sz w:val="32"/>
          <w:szCs w:val="32"/>
          <w:highlight w:val="none"/>
          <w:u w:val="single"/>
          <w:lang w:val="en-US" w:eastAsia="zh-CN"/>
        </w:rPr>
        <w:t>88</w:t>
      </w:r>
      <w:r>
        <w:rPr>
          <w:rFonts w:hint="eastAsia"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rPr>
        <w:t>万元。与上年相比增加</w:t>
      </w:r>
      <w:r>
        <w:rPr>
          <w:rFonts w:hint="eastAsia" w:ascii="仿宋_GB2312" w:hAnsi="楷体" w:eastAsia="仿宋_GB2312"/>
          <w:kern w:val="0"/>
          <w:sz w:val="32"/>
          <w:szCs w:val="32"/>
          <w:highlight w:val="none"/>
          <w:u w:val="single"/>
          <w:lang w:val="en-US" w:eastAsia="zh-CN"/>
        </w:rPr>
        <w:t>37.99</w:t>
      </w:r>
      <w:r>
        <w:rPr>
          <w:rFonts w:hint="eastAsia" w:ascii="仿宋_GB2312" w:hAnsi="楷体" w:eastAsia="仿宋_GB2312"/>
          <w:kern w:val="0"/>
          <w:sz w:val="32"/>
          <w:szCs w:val="32"/>
          <w:highlight w:val="none"/>
        </w:rPr>
        <w:t>万元，增长</w:t>
      </w:r>
      <w:r>
        <w:rPr>
          <w:rFonts w:hint="eastAsia"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single"/>
          <w:lang w:val="en-US" w:eastAsia="zh-CN"/>
        </w:rPr>
        <w:t>4.3</w:t>
      </w:r>
      <w:r>
        <w:rPr>
          <w:rFonts w:ascii="仿宋_GB2312" w:hAnsi="楷体" w:eastAsia="仿宋_GB2312"/>
          <w:kern w:val="0"/>
          <w:sz w:val="32"/>
          <w:szCs w:val="32"/>
          <w:highlight w:val="none"/>
          <w:u w:val="single"/>
        </w:rPr>
        <w:t xml:space="preserve"> </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eastAsia="zh-CN"/>
        </w:rPr>
        <w:t>本年度增加人员支出</w:t>
      </w:r>
      <w:r>
        <w:rPr>
          <w:rFonts w:hint="eastAsia" w:ascii="仿宋_GB2312" w:hAnsi="楷体" w:eastAsia="仿宋_GB2312"/>
          <w:kern w:val="0"/>
          <w:sz w:val="32"/>
          <w:szCs w:val="32"/>
          <w:highlight w:val="none"/>
        </w:rPr>
        <w:t>。项目支出预算数为</w:t>
      </w:r>
      <w:r>
        <w:rPr>
          <w:rFonts w:hint="eastAsia"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single"/>
          <w:lang w:val="en-US" w:eastAsia="zh-CN"/>
        </w:rPr>
        <w:t>28165.68</w:t>
      </w:r>
      <w:r>
        <w:rPr>
          <w:rFonts w:hint="eastAsia"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rPr>
        <w:t>万元。与上年相比增加</w:t>
      </w:r>
      <w:r>
        <w:rPr>
          <w:rFonts w:hint="eastAsia"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single"/>
          <w:lang w:val="en-US" w:eastAsia="zh-CN"/>
        </w:rPr>
        <w:t>5989.24</w:t>
      </w:r>
      <w:r>
        <w:rPr>
          <w:rFonts w:hint="eastAsia" w:ascii="仿宋_GB2312" w:hAnsi="楷体" w:eastAsia="仿宋_GB2312"/>
          <w:kern w:val="0"/>
          <w:sz w:val="32"/>
          <w:szCs w:val="32"/>
          <w:highlight w:val="none"/>
        </w:rPr>
        <w:t>万元，增长</w:t>
      </w:r>
      <w:r>
        <w:rPr>
          <w:rFonts w:hint="eastAsia" w:ascii="仿宋_GB2312" w:hAnsi="楷体" w:eastAsia="仿宋_GB2312"/>
          <w:kern w:val="0"/>
          <w:sz w:val="32"/>
          <w:szCs w:val="32"/>
          <w:highlight w:val="none"/>
          <w:u w:val="single"/>
        </w:rPr>
        <w:t xml:space="preserve"> </w:t>
      </w:r>
      <w:r>
        <w:rPr>
          <w:rFonts w:hint="eastAsia" w:ascii="仿宋_GB2312" w:hAnsi="楷体" w:eastAsia="仿宋_GB2312"/>
          <w:kern w:val="0"/>
          <w:sz w:val="32"/>
          <w:szCs w:val="32"/>
          <w:highlight w:val="none"/>
          <w:u w:val="single"/>
          <w:lang w:val="en-US" w:eastAsia="zh-CN"/>
        </w:rPr>
        <w:t>27.01</w:t>
      </w:r>
      <w:r>
        <w:rPr>
          <w:rFonts w:hint="eastAsia" w:ascii="仿宋_GB2312" w:hAnsi="楷体" w:eastAsia="仿宋_GB2312"/>
          <w:kern w:val="0"/>
          <w:sz w:val="32"/>
          <w:szCs w:val="32"/>
          <w:highlight w:val="none"/>
          <w:u w:val="single"/>
        </w:rPr>
        <w:t xml:space="preserve"> </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highlight w:val="none"/>
          <w:lang w:eastAsia="zh-CN"/>
        </w:rPr>
        <w:t>本年度增加供热补贴，桥西街遗留问题，丁陶大道南延、河西路网建设工程等项目支出</w:t>
      </w:r>
      <w:r>
        <w:rPr>
          <w:rFonts w:hint="eastAsia" w:ascii="仿宋_GB2312" w:hAnsi="楷体" w:eastAsia="仿宋_GB2312"/>
          <w:kern w:val="0"/>
          <w:sz w:val="32"/>
          <w:szCs w:val="32"/>
          <w:highlight w:val="none"/>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single"/>
          <w:lang w:eastAsia="zh-CN"/>
        </w:rPr>
        <w:t>襄汾县住房和城乡建设管理局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29087.56</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single"/>
          <w:lang w:val="en-US" w:eastAsia="zh-CN"/>
        </w:rPr>
        <w:t>15826.27</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54.41</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13261.28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45.59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single"/>
          <w:lang w:eastAsia="zh-CN"/>
        </w:rPr>
        <w:t>襄汾县住房和城乡建设管理局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29087.56</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lang w:val="en-US" w:eastAsia="zh-CN"/>
        </w:rPr>
        <w:t>921.88</w:t>
      </w:r>
      <w:r>
        <w:rPr>
          <w:rFonts w:hint="eastAsia" w:ascii="仿宋_GB2312" w:hAnsi="楷体" w:eastAsia="仿宋_GB2312"/>
          <w:kern w:val="0"/>
          <w:sz w:val="32"/>
          <w:szCs w:val="32"/>
        </w:rPr>
        <w:t xml:space="preserve"> 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3.17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28165.68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96.83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single"/>
          <w:lang w:eastAsia="zh-CN"/>
        </w:rPr>
        <w:t>襄汾县住房和城乡建设管理局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29087.56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6027.23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26.14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2022年度支出总计</w:t>
      </w:r>
      <w:r>
        <w:rPr>
          <w:rFonts w:hint="eastAsia" w:ascii="仿宋_GB2312" w:hAnsi="楷体" w:eastAsia="仿宋_GB2312"/>
          <w:kern w:val="0"/>
          <w:sz w:val="32"/>
          <w:szCs w:val="32"/>
          <w:u w:val="single"/>
          <w:lang w:val="en-US" w:eastAsia="zh-CN"/>
        </w:rPr>
        <w:t>29087.56</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6027.23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26.14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。主要原因是主要原因是</w:t>
      </w:r>
      <w:r>
        <w:rPr>
          <w:rFonts w:hint="eastAsia" w:ascii="仿宋_GB2312" w:hAnsi="楷体" w:eastAsia="仿宋_GB2312"/>
          <w:kern w:val="0"/>
          <w:sz w:val="32"/>
          <w:szCs w:val="32"/>
          <w:lang w:eastAsia="zh-CN"/>
        </w:rPr>
        <w:t>本年度增加供热补贴，桥西街遗留问题，丁陶大道南延、河西路网建设工程等项目支出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eastAsia="zh-CN"/>
        </w:rPr>
        <w:t>襄汾县住房和城乡建设管理局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15826.27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9740.88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160.07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。主要原因是主要原因是</w:t>
      </w:r>
      <w:r>
        <w:rPr>
          <w:rFonts w:hint="eastAsia" w:ascii="仿宋_GB2312" w:hAnsi="楷体" w:eastAsia="仿宋_GB2312"/>
          <w:kern w:val="0"/>
          <w:sz w:val="32"/>
          <w:szCs w:val="32"/>
          <w:lang w:val="en-US" w:eastAsia="zh-CN"/>
        </w:rPr>
        <w:t>本年度预算调整蓝天清扫保洁经费、富瑞棚户区还本付息、供热补贴等项目的资金性质</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single"/>
          <w:lang w:eastAsia="zh-CN"/>
        </w:rPr>
        <w:t>襄汾县住房和城乡建设管理局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single"/>
          <w:lang w:val="en-US" w:eastAsia="zh-CN"/>
        </w:rPr>
        <w:t>921.88</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867.77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万元。主要包括：基本工资、津贴补贴、奖金、社会保障缴费、绩效工资、离休费、退休费、生活补助、奖励金、住房公积金。</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29.23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万元。主要包括：办公费、取暖费、其他交通费用。</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eastAsia="zh-CN"/>
        </w:rPr>
        <w:t>襄汾县住房和城乡建设管理局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13261.28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3713.66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21.88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本年度调整蓝天清扫保洁经费、富瑞棚户区还本付息、供热补贴等项目的资金性质。</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widowControl/>
        <w:numPr>
          <w:ilvl w:val="0"/>
          <w:numId w:val="0"/>
        </w:numPr>
        <w:autoSpaceDE/>
        <w:autoSpaceDN/>
        <w:adjustRightInd/>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我单位2022年无“三公”经费预算。</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keepNext w:val="0"/>
        <w:keepLines w:val="0"/>
        <w:pageBreakBefore w:val="0"/>
        <w:kinsoku/>
        <w:wordWrap/>
        <w:overflowPunct/>
        <w:topLinePunct w:val="0"/>
        <w:autoSpaceDE w:val="0"/>
        <w:autoSpaceDN w:val="0"/>
        <w:bidi w:val="0"/>
        <w:adjustRightInd w:val="0"/>
        <w:snapToGrid w:val="0"/>
        <w:spacing w:line="560" w:lineRule="exact"/>
        <w:ind w:firstLine="800" w:firstLineChars="250"/>
        <w:jc w:val="left"/>
        <w:textAlignment w:val="auto"/>
        <w:rPr>
          <w:rFonts w:hint="eastAsia"/>
        </w:rPr>
      </w:pP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我单位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single"/>
          <w:lang w:val="en-US" w:eastAsia="zh-CN"/>
        </w:rPr>
        <w:t>17.47</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single"/>
          <w:lang w:val="en-US" w:eastAsia="zh-CN"/>
        </w:rPr>
        <w:t xml:space="preserve"> 0.72</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增长</w:t>
      </w:r>
      <w:r>
        <w:rPr>
          <w:rFonts w:hint="eastAsia" w:ascii="仿宋_GB2312" w:hAnsi="楷体" w:eastAsia="仿宋_GB2312"/>
          <w:kern w:val="0"/>
          <w:sz w:val="32"/>
          <w:szCs w:val="32"/>
          <w:u w:val="single"/>
          <w:lang w:val="en-US" w:eastAsia="zh-CN"/>
        </w:rPr>
        <w:t xml:space="preserve"> 4.3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color w:val="auto"/>
          <w:kern w:val="0"/>
          <w:sz w:val="32"/>
          <w:szCs w:val="32"/>
          <w:lang w:val="en-US" w:eastAsia="zh-CN"/>
        </w:rPr>
        <w:t>本年度有人员调整</w:t>
      </w:r>
      <w:r>
        <w:rPr>
          <w:rFonts w:hint="eastAsia" w:ascii="仿宋_GB2312" w:hAnsi="楷体" w:eastAsia="仿宋_GB2312"/>
          <w:color w:val="auto"/>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6159.99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56.23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lang w:val="en-US" w:eastAsia="zh-CN"/>
        </w:rPr>
        <w:t>6097.76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28165.68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28165.68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专项债券公开</w:t>
      </w:r>
    </w:p>
    <w:p>
      <w:pPr>
        <w:widowControl/>
        <w:numPr>
          <w:ilvl w:val="0"/>
          <w:numId w:val="3"/>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上年专项债券资金使用情况；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襄汾县建制镇污水处理设施项目资金使用情况：全部使用专项债券资金，共计支付6742.533244万元。</w:t>
      </w:r>
    </w:p>
    <w:p>
      <w:pPr>
        <w:numPr>
          <w:ilvl w:val="0"/>
          <w:numId w:val="0"/>
        </w:numPr>
        <w:ind w:firstLine="640" w:firstLineChars="200"/>
        <w:rPr>
          <w:rFonts w:hint="eastAsia"/>
        </w:rPr>
      </w:pPr>
      <w:r>
        <w:rPr>
          <w:rFonts w:hint="eastAsia" w:ascii="仿宋_GB2312" w:hAnsi="仿宋_GB2312" w:eastAsia="仿宋_GB2312" w:cs="仿宋_GB2312"/>
          <w:b w:val="0"/>
          <w:bCs w:val="0"/>
          <w:sz w:val="32"/>
          <w:szCs w:val="32"/>
          <w:lang w:eastAsia="zh-CN"/>
        </w:rPr>
        <w:t>襄汾县餐厨垃圾处理厂建设项目</w:t>
      </w:r>
      <w:r>
        <w:rPr>
          <w:rFonts w:hint="eastAsia" w:ascii="仿宋_GB2312" w:hAnsi="仿宋_GB2312" w:eastAsia="仿宋_GB2312" w:cs="仿宋_GB2312"/>
          <w:sz w:val="32"/>
          <w:szCs w:val="32"/>
          <w:lang w:val="en-US" w:eastAsia="zh-CN"/>
        </w:rPr>
        <w:t>资金使用情况：全部使用专项债券资金，共计支付953.3773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pPr>
        <w:widowControl/>
        <w:numPr>
          <w:ilvl w:val="0"/>
          <w:numId w:val="3"/>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上年专项债券对应项目建设进度、运营情况等；</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襄汾县建制镇污水处理设施项目情况：先后完成了汾城镇、古城镇、南贾镇、邓庄镇、襄陵镇、赵康镇的污水场站建设，目前全部通水调试。六镇配套污水管网完成61.7Km，进户PVC管完成50.2Km。</w:t>
      </w:r>
    </w:p>
    <w:p>
      <w:pPr>
        <w:numPr>
          <w:ilvl w:val="0"/>
          <w:numId w:val="0"/>
        </w:numPr>
        <w:ind w:firstLine="640" w:firstLineChars="200"/>
        <w:rPr>
          <w:rFonts w:hint="eastAsia"/>
        </w:rPr>
      </w:pPr>
      <w:r>
        <w:rPr>
          <w:rFonts w:hint="eastAsia" w:ascii="仿宋_GB2312" w:hAnsi="仿宋_GB2312" w:eastAsia="仿宋_GB2312" w:cs="仿宋_GB2312"/>
          <w:b w:val="0"/>
          <w:bCs w:val="0"/>
          <w:sz w:val="32"/>
          <w:szCs w:val="32"/>
          <w:lang w:eastAsia="zh-CN"/>
        </w:rPr>
        <w:t>襄汾县餐厨垃圾处理厂建设项目情况：</w:t>
      </w:r>
      <w:r>
        <w:rPr>
          <w:rFonts w:hint="eastAsia" w:ascii="仿宋_GB2312" w:hAnsi="仿宋_GB2312" w:eastAsia="仿宋_GB2312" w:cs="仿宋_GB2312"/>
          <w:b w:val="0"/>
          <w:bCs w:val="0"/>
          <w:sz w:val="32"/>
          <w:szCs w:val="40"/>
          <w:lang w:val="en-US" w:eastAsia="zh-CN"/>
        </w:rPr>
        <w:t>该工程主体已完成，餐厨处理设备和污水处理设备已全部安装完毕，厂区内硬化和绿化已全部竣工；因配电工程设计方案发生变动，现在正在办理相关手续。</w:t>
      </w:r>
    </w:p>
    <w:p>
      <w:pPr>
        <w:widowControl/>
        <w:numPr>
          <w:ilvl w:val="0"/>
          <w:numId w:val="3"/>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上年专项债券项目收益及对应形成的资产情况。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襄汾县建制镇污水处理设施项目情况</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lang w:val="en-US" w:eastAsia="zh-CN"/>
        </w:rPr>
        <w:t>目前，汾城镇、古城镇已进入调试试运行阶段，南贾镇、赵康镇、襄陵镇、邓庄镇目前进入通水调试阶段，配套管网正在建设中，暂未形成收益。</w:t>
      </w:r>
    </w:p>
    <w:p>
      <w:pPr>
        <w:pStyle w:val="2"/>
        <w:numPr>
          <w:ilvl w:val="0"/>
          <w:numId w:val="0"/>
        </w:numPr>
        <w:ind w:left="0" w:leftChars="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sz w:val="32"/>
          <w:szCs w:val="32"/>
          <w:lang w:eastAsia="zh-CN"/>
        </w:rPr>
        <w:t>襄汾县餐厨垃圾处理厂建设项目情况：</w:t>
      </w:r>
      <w:r>
        <w:rPr>
          <w:rFonts w:hint="eastAsia" w:ascii="仿宋_GB2312" w:hAnsi="仿宋_GB2312" w:eastAsia="仿宋_GB2312" w:cs="仿宋_GB2312"/>
          <w:color w:val="000000"/>
          <w:sz w:val="32"/>
          <w:szCs w:val="32"/>
          <w:lang w:val="en-US" w:eastAsia="zh-CN"/>
        </w:rPr>
        <w:t>目前，该项目正在建设中，尚未形成收益。运营后本项目收益可以覆盖债券的本金以及利息支出，能够达到项目收益与融资自求平衡。</w:t>
      </w:r>
    </w:p>
    <w:p>
      <w:pPr>
        <w:pStyle w:val="2"/>
        <w:rPr>
          <w:rFonts w:hint="eastAsia"/>
          <w:lang w:val="en-US" w:eastAsia="zh-CN"/>
        </w:rPr>
      </w:pP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both"/>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（各</w:t>
      </w:r>
      <w:r>
        <w:rPr>
          <w:rFonts w:hint="eastAsia" w:ascii="仿宋_GB2312" w:hAnsi="仿宋" w:eastAsia="仿宋_GB2312"/>
          <w:kern w:val="0"/>
          <w:sz w:val="32"/>
          <w:szCs w:val="32"/>
          <w:lang w:val="en-US" w:eastAsia="zh-CN"/>
        </w:rPr>
        <w:t>单位</w:t>
      </w:r>
      <w:r>
        <w:rPr>
          <w:rFonts w:hint="eastAsia" w:ascii="仿宋_GB2312" w:hAnsi="仿宋" w:eastAsia="仿宋_GB2312"/>
          <w:kern w:val="0"/>
          <w:sz w:val="32"/>
          <w:szCs w:val="32"/>
        </w:rPr>
        <w:t>应根据公开预算表中对应的经费情况进行名词解释，对未涉及的名词可以删除）</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abstractNum w:abstractNumId="2">
    <w:nsid w:val="6BB47131"/>
    <w:multiLevelType w:val="singleLevel"/>
    <w:tmpl w:val="6BB4713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607A86"/>
    <w:rsid w:val="01E2763B"/>
    <w:rsid w:val="02302B49"/>
    <w:rsid w:val="023C604C"/>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095B3A"/>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7B4234"/>
    <w:rsid w:val="24D33A48"/>
    <w:rsid w:val="26267710"/>
    <w:rsid w:val="26D73A12"/>
    <w:rsid w:val="26D867DF"/>
    <w:rsid w:val="275561AD"/>
    <w:rsid w:val="275B5730"/>
    <w:rsid w:val="27A707D3"/>
    <w:rsid w:val="28B179A0"/>
    <w:rsid w:val="297F60F4"/>
    <w:rsid w:val="29C54245"/>
    <w:rsid w:val="29E745D6"/>
    <w:rsid w:val="2A0C4B1E"/>
    <w:rsid w:val="2A997794"/>
    <w:rsid w:val="2AA80908"/>
    <w:rsid w:val="2B4A170A"/>
    <w:rsid w:val="2C292926"/>
    <w:rsid w:val="2CFA4C2F"/>
    <w:rsid w:val="2D282446"/>
    <w:rsid w:val="2D4A2C99"/>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4D5335"/>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6B67FB"/>
    <w:rsid w:val="3FF763B7"/>
    <w:rsid w:val="4010633E"/>
    <w:rsid w:val="406929B7"/>
    <w:rsid w:val="40AC51D9"/>
    <w:rsid w:val="41274A97"/>
    <w:rsid w:val="413855EC"/>
    <w:rsid w:val="41F73716"/>
    <w:rsid w:val="42314B4F"/>
    <w:rsid w:val="42321896"/>
    <w:rsid w:val="42932653"/>
    <w:rsid w:val="42A87774"/>
    <w:rsid w:val="436B0382"/>
    <w:rsid w:val="44B8486B"/>
    <w:rsid w:val="45047640"/>
    <w:rsid w:val="457C07BD"/>
    <w:rsid w:val="46105885"/>
    <w:rsid w:val="46463CE7"/>
    <w:rsid w:val="46F43E17"/>
    <w:rsid w:val="479B4DEC"/>
    <w:rsid w:val="47EE3BCE"/>
    <w:rsid w:val="48882984"/>
    <w:rsid w:val="49FF0CFB"/>
    <w:rsid w:val="4B517DBB"/>
    <w:rsid w:val="4BEC58E9"/>
    <w:rsid w:val="4BF3571C"/>
    <w:rsid w:val="4CB45D69"/>
    <w:rsid w:val="4CCC2331"/>
    <w:rsid w:val="4D6954BF"/>
    <w:rsid w:val="505809DD"/>
    <w:rsid w:val="50BC7B39"/>
    <w:rsid w:val="527C3191"/>
    <w:rsid w:val="53DD6BA8"/>
    <w:rsid w:val="53E74802"/>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2DE7ACE"/>
    <w:rsid w:val="63804CC1"/>
    <w:rsid w:val="63CA0901"/>
    <w:rsid w:val="63DC3A6F"/>
    <w:rsid w:val="64535518"/>
    <w:rsid w:val="64A47E04"/>
    <w:rsid w:val="64AE406A"/>
    <w:rsid w:val="64E61465"/>
    <w:rsid w:val="652B7F17"/>
    <w:rsid w:val="65A60FF6"/>
    <w:rsid w:val="67573C0D"/>
    <w:rsid w:val="67606103"/>
    <w:rsid w:val="67EB6718"/>
    <w:rsid w:val="68C7713A"/>
    <w:rsid w:val="68F242AC"/>
    <w:rsid w:val="69272081"/>
    <w:rsid w:val="6ABB4B62"/>
    <w:rsid w:val="6B73082E"/>
    <w:rsid w:val="6CB00EEC"/>
    <w:rsid w:val="6DD00F51"/>
    <w:rsid w:val="6E130B2A"/>
    <w:rsid w:val="6E5205D8"/>
    <w:rsid w:val="6EDA2E31"/>
    <w:rsid w:val="6FC77BC7"/>
    <w:rsid w:val="70C61C0B"/>
    <w:rsid w:val="70E334F7"/>
    <w:rsid w:val="71D47169"/>
    <w:rsid w:val="720A3FB4"/>
    <w:rsid w:val="72C23FBE"/>
    <w:rsid w:val="72F81C9E"/>
    <w:rsid w:val="736E3BAB"/>
    <w:rsid w:val="75A56425"/>
    <w:rsid w:val="760863BE"/>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2A7E57"/>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semiHidden/>
    <w:qFormat/>
    <w:uiPriority w:val="0"/>
    <w:rPr>
      <w:rFonts w:ascii="Times New Roman" w:hAnsi="Times New Roman"/>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Char Char Char Char Char Char Char"/>
    <w:basedOn w:val="1"/>
    <w:link w:val="7"/>
    <w:qFormat/>
    <w:uiPriority w:val="0"/>
    <w:rPr>
      <w:rFonts w:ascii="Times New Roman" w:hAnsi="Times New Roman"/>
      <w:szCs w:val="24"/>
    </w:rPr>
  </w:style>
  <w:style w:type="character" w:styleId="9">
    <w:name w:val="page number"/>
    <w:basedOn w:val="7"/>
    <w:qFormat/>
    <w:uiPriority w:val="0"/>
  </w:style>
  <w:style w:type="paragraph" w:customStyle="1" w:styleId="10">
    <w:name w:val="无间隔1"/>
    <w:basedOn w:val="1"/>
    <w:qFormat/>
    <w:uiPriority w:val="99"/>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2022-03-14T03:08:20Z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C7BB6A058981483BB478D2CCB1CEC1A7</vt:lpwstr>
  </property>
</Properties>
</file>