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看守所</w:t>
      </w: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根据《中华人民共和国刑法》《中华人民共和国刑事诉讼法》《中华人民共和国治安管理处罚法》《看守所条例》《拘留所条例》设置看守所、拘留所，分别羁押管理涉嫌刑事犯罪和行政违法人员。</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职责分工，本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内设机构包括</w:t>
      </w:r>
      <w:r>
        <w:rPr>
          <w:rFonts w:hint="eastAsia" w:ascii="仿宋_GB2312" w:hAnsi="楷体" w:eastAsia="仿宋_GB2312"/>
          <w:kern w:val="0"/>
          <w:sz w:val="32"/>
          <w:szCs w:val="32"/>
          <w:lang w:eastAsia="zh-CN"/>
        </w:rPr>
        <w:t>内勤室、管教中队、看守中队、狱侦中队并合设拘留所</w:t>
      </w:r>
      <w:r>
        <w:rPr>
          <w:rFonts w:ascii="仿宋_GB2312" w:hAnsi="楷体" w:eastAsia="仿宋_GB2312"/>
          <w:kern w:val="0"/>
          <w:sz w:val="32"/>
          <w:szCs w:val="32"/>
        </w:rPr>
        <w:t xml:space="preserve"> </w:t>
      </w: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单位无</w:t>
      </w:r>
      <w:r>
        <w:rPr>
          <w:rFonts w:hint="eastAsia" w:ascii="仿宋_GB2312" w:hAnsi="楷体" w:eastAsia="仿宋_GB2312"/>
          <w:kern w:val="0"/>
          <w:sz w:val="32"/>
          <w:szCs w:val="32"/>
        </w:rPr>
        <w:t>下属单位包括。</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年主要工作任务及目标</w:t>
      </w:r>
    </w:p>
    <w:p>
      <w:pPr>
        <w:widowControl/>
        <w:numPr>
          <w:ilvl w:val="0"/>
          <w:numId w:val="2"/>
        </w:numPr>
        <w:spacing w:line="560" w:lineRule="exact"/>
        <w:ind w:left="0" w:leftChars="0"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根据2018年临汾市公安局《关于做好全市公安监所整合若干工作的通知》精神，配合临汾市看守所、侯马市拘留所做好我县各政法单位送押违法犯罪人员工作，完成投送监狱执行的押解任务，完成需住院治疗的被监管人员看押任务。配合全县政法单位做好女性及未成年嫌疑人送押前疫情隔离看押工作。</w:t>
      </w:r>
    </w:p>
    <w:p>
      <w:pPr>
        <w:widowControl/>
        <w:numPr>
          <w:ilvl w:val="0"/>
          <w:numId w:val="2"/>
        </w:numPr>
        <w:spacing w:line="560" w:lineRule="exact"/>
        <w:ind w:left="0" w:leftChars="0"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做好看守所机关大院安全保卫工作，保障水暖电气正常供应，保障机关工作正常运行。</w:t>
      </w:r>
    </w:p>
    <w:p>
      <w:pPr>
        <w:widowControl/>
        <w:numPr>
          <w:ilvl w:val="0"/>
          <w:numId w:val="2"/>
        </w:numPr>
        <w:spacing w:line="560" w:lineRule="exact"/>
        <w:ind w:left="0" w:leftChars="0"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完成公安局党委交办的反电诈宣传、疫情排查、特别勤务等公安中心工作任务。</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rPr>
        <w:t>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rPr>
        <w:t>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rPr>
        <w:t>“三公”经费预算财政拨款情况表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rPr>
        <w:t>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rPr>
        <w:t>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val="en-US"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val="en-US" w:eastAsia="zh-CN"/>
        </w:rPr>
        <w:t>襄汾县看守所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68.1</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33.8</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68.1</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33.8</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2021年受新冠疫情影响，看守所、拘留所收押量减少，2022年各级公安机关均要求在疫情得到控制的前提下，公安监管场所要做到应收尽收</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kern w:val="0"/>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0</w:t>
      </w:r>
    </w:p>
    <w:p>
      <w:pPr>
        <w:widowControl/>
        <w:spacing w:line="560" w:lineRule="exact"/>
        <w:ind w:firstLine="640"/>
        <w:rPr>
          <w:rFonts w:hint="eastAsia" w:ascii="仿宋_GB2312" w:hAnsi="楷体" w:eastAsia="仿宋_GB2312"/>
          <w:kern w:val="0"/>
          <w:sz w:val="32"/>
          <w:szCs w:val="32"/>
          <w:lang w:val="en-US"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襄汾县看守所基本支出和项目支出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none"/>
          <w:lang w:val="en-US" w:eastAsia="zh-CN"/>
        </w:rPr>
        <w:t>68.1</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38.1</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2021年受新冠疫情影响，看守所、拘留所收押量减少，2022年各级公安机关均要求在疫情得到控制的前提下，公安监管场所要做到应收尽收，收押量增加后，给养费随之增加</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75.8</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万元。主要原因是</w:t>
      </w:r>
      <w:r>
        <w:rPr>
          <w:rFonts w:hint="eastAsia" w:ascii="仿宋_GB2312" w:hAnsi="楷体" w:eastAsia="仿宋_GB2312"/>
          <w:kern w:val="0"/>
          <w:sz w:val="32"/>
          <w:szCs w:val="32"/>
          <w:lang w:eastAsia="zh-CN"/>
        </w:rPr>
        <w:t>基本支出无变化</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193.5</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68</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bookmarkStart w:id="0" w:name="_GoBack"/>
      <w:bookmarkEnd w:id="0"/>
      <w:r>
        <w:rPr>
          <w:rFonts w:hint="eastAsia" w:ascii="仿宋_GB2312" w:hAnsi="楷体" w:eastAsia="仿宋_GB2312"/>
          <w:kern w:val="0"/>
          <w:sz w:val="32"/>
          <w:szCs w:val="32"/>
          <w:u w:val="none"/>
          <w:lang w:val="en-US" w:eastAsia="zh-CN"/>
        </w:rPr>
        <w:t>38.1</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2021年受新冠疫情影响，看守所、拘留所收押量减少，2022年各级公安机关均要求在疫情得到控制的前提下，公安监管场所要做到应收尽收</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襄汾县看守所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襄汾县看守所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75.8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28.1</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193.5</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71.9</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襄汾县看守所2022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68</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38.1</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2021年受新冠疫情影响，看守所、拘留所收押量减少，2022年各级公安机关均要求在疫情得到控制的前提下，公安监管场所要做到应收尽收</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襄汾县看守所2022</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68</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38</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2021年受新冠疫情影响，看守所、拘留所收押量减少，2022年各级公安机关均要求在疫情得到控制的前提下，公安监管场所要做到应收尽收</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襄汾县看守所2022</w:t>
      </w:r>
      <w:r>
        <w:rPr>
          <w:rFonts w:hint="eastAsia" w:ascii="仿宋_GB2312" w:hAnsi="楷体" w:eastAsia="仿宋_GB2312"/>
          <w:kern w:val="0"/>
          <w:sz w:val="32"/>
          <w:szCs w:val="32"/>
        </w:rPr>
        <w:t xml:space="preserve">年度一般公共预算基本支出预算  </w:t>
      </w:r>
      <w:r>
        <w:rPr>
          <w:rFonts w:hint="eastAsia" w:ascii="仿宋_GB2312" w:hAnsi="楷体" w:eastAsia="仿宋_GB2312"/>
          <w:kern w:val="0"/>
          <w:sz w:val="32"/>
          <w:szCs w:val="32"/>
          <w:u w:val="none"/>
          <w:lang w:val="en-US" w:eastAsia="zh-CN"/>
        </w:rPr>
        <w:t>269.3</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59.4</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none"/>
          <w:lang w:val="en-US" w:eastAsia="zh-CN"/>
        </w:rPr>
        <w:t>16.4</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襄汾县看守所2022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襄汾县看守所2022</w:t>
      </w:r>
      <w:r>
        <w:rPr>
          <w:rFonts w:hint="eastAsia" w:ascii="仿宋_GB2312" w:hAnsi="楷体" w:eastAsia="仿宋_GB2312"/>
          <w:kern w:val="0"/>
          <w:sz w:val="32"/>
          <w:szCs w:val="32"/>
        </w:rPr>
        <w:t>年度</w:t>
      </w:r>
      <w:r>
        <w:rPr>
          <w:rFonts w:hint="eastAsia" w:ascii="仿宋_GB2312" w:hAnsi="楷体" w:eastAsia="仿宋_GB2312"/>
          <w:kern w:val="0"/>
          <w:sz w:val="32"/>
          <w:szCs w:val="32"/>
          <w:lang w:eastAsia="zh-CN"/>
        </w:rPr>
        <w:t>无三公经费。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u w:val="none"/>
          <w:lang w:val="en-US" w:eastAsia="zh-CN"/>
        </w:rPr>
        <w:t>16.25</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万元，增长（降低）</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与去年相比无变化</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none"/>
          <w:lang w:val="en-US" w:eastAsia="zh-CN"/>
        </w:rPr>
        <w:t>2.75</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none"/>
          <w:lang w:val="en-US" w:eastAsia="zh-CN"/>
        </w:rPr>
        <w:t>2.75</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193.5</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none"/>
          <w:lang w:val="en-US" w:eastAsia="zh-CN"/>
        </w:rPr>
        <w:t>193.5</w:t>
      </w:r>
      <w:r>
        <w:rPr>
          <w:rFonts w:hint="eastAsia" w:ascii="仿宋_GB2312" w:hAnsi="楷体" w:eastAsia="仿宋_GB2312"/>
          <w:kern w:val="0"/>
          <w:sz w:val="32"/>
          <w:szCs w:val="32"/>
        </w:rPr>
        <w:t>万元。</w:t>
      </w:r>
    </w:p>
    <w:p>
      <w:pPr>
        <w:widowControl/>
        <w:numPr>
          <w:ilvl w:val="0"/>
          <w:numId w:val="3"/>
        </w:numPr>
        <w:spacing w:line="560" w:lineRule="exact"/>
        <w:ind w:left="0" w:leftChars="0"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ilvl w:val="0"/>
          <w:numId w:val="0"/>
        </w:numPr>
        <w:spacing w:line="560" w:lineRule="exact"/>
        <w:ind w:left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黑体" w:eastAsia="仿宋_GB2312"/>
          <w:b w:val="0"/>
          <w:bCs/>
          <w:spacing w:val="-16"/>
          <w:kern w:val="0"/>
          <w:sz w:val="32"/>
          <w:szCs w:val="32"/>
        </w:rPr>
      </w:pPr>
      <w:r>
        <w:rPr>
          <w:rFonts w:hint="eastAsia" w:ascii="仿宋_GB2312" w:hAnsi="黑体" w:eastAsia="仿宋_GB2312"/>
          <w:b w:val="0"/>
          <w:bCs/>
          <w:spacing w:val="-16"/>
          <w:kern w:val="0"/>
          <w:sz w:val="32"/>
          <w:szCs w:val="32"/>
        </w:rPr>
        <w:t>本</w:t>
      </w:r>
      <w:r>
        <w:rPr>
          <w:rFonts w:hint="eastAsia" w:ascii="仿宋_GB2312" w:hAnsi="黑体" w:eastAsia="仿宋_GB2312"/>
          <w:b w:val="0"/>
          <w:bCs/>
          <w:spacing w:val="-16"/>
          <w:kern w:val="0"/>
          <w:sz w:val="32"/>
          <w:szCs w:val="32"/>
          <w:lang w:eastAsia="zh-CN"/>
        </w:rPr>
        <w:t>单位</w:t>
      </w:r>
      <w:r>
        <w:rPr>
          <w:rFonts w:hint="eastAsia" w:ascii="仿宋_GB2312" w:hAnsi="黑体" w:eastAsia="仿宋_GB2312"/>
          <w:b w:val="0"/>
          <w:bCs/>
          <w:spacing w:val="-16"/>
          <w:kern w:val="0"/>
          <w:sz w:val="32"/>
          <w:szCs w:val="32"/>
        </w:rPr>
        <w:t>未使用政府债券。</w:t>
      </w:r>
    </w:p>
    <w:p>
      <w:pPr>
        <w:widowControl/>
        <w:numPr>
          <w:ilvl w:val="0"/>
          <w:numId w:val="4"/>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ilvl w:val="0"/>
          <w:numId w:val="0"/>
        </w:numPr>
        <w:spacing w:line="560" w:lineRule="exac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E05D0DBB"/>
    <w:multiLevelType w:val="singleLevel"/>
    <w:tmpl w:val="E05D0DBB"/>
    <w:lvl w:ilvl="0" w:tentative="0">
      <w:start w:val="2"/>
      <w:numFmt w:val="chineseCounting"/>
      <w:suff w:val="nothing"/>
      <w:lvlText w:val="（%1）"/>
      <w:lvlJc w:val="left"/>
      <w:rPr>
        <w:rFonts w:hint="eastAsia"/>
      </w:rPr>
    </w:lvl>
  </w:abstractNum>
  <w:abstractNum w:abstractNumId="2">
    <w:nsid w:val="3492C103"/>
    <w:multiLevelType w:val="singleLevel"/>
    <w:tmpl w:val="3492C103"/>
    <w:lvl w:ilvl="0" w:tentative="0">
      <w:start w:val="1"/>
      <w:numFmt w:val="decimal"/>
      <w:lvlText w:val="%1."/>
      <w:lvlJc w:val="left"/>
      <w:pPr>
        <w:tabs>
          <w:tab w:val="left" w:pos="312"/>
        </w:tabs>
        <w:ind w:left="640" w:leftChars="0" w:firstLine="0" w:firstLineChars="0"/>
      </w:pPr>
    </w:lvl>
  </w:abstractNum>
  <w:abstractNum w:abstractNumId="3">
    <w:nsid w:val="5456D05E"/>
    <w:multiLevelType w:val="singleLevel"/>
    <w:tmpl w:val="5456D05E"/>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607A86"/>
    <w:rsid w:val="01E2763B"/>
    <w:rsid w:val="02302B49"/>
    <w:rsid w:val="02496741"/>
    <w:rsid w:val="02F71C94"/>
    <w:rsid w:val="042A46B1"/>
    <w:rsid w:val="047252B7"/>
    <w:rsid w:val="0595462A"/>
    <w:rsid w:val="05E51BD6"/>
    <w:rsid w:val="068F085F"/>
    <w:rsid w:val="06C82279"/>
    <w:rsid w:val="06DD6518"/>
    <w:rsid w:val="081A4BED"/>
    <w:rsid w:val="09ED16A4"/>
    <w:rsid w:val="0A395A2B"/>
    <w:rsid w:val="0A781506"/>
    <w:rsid w:val="0A831A07"/>
    <w:rsid w:val="0B7A268C"/>
    <w:rsid w:val="0BE149B9"/>
    <w:rsid w:val="0C550EC0"/>
    <w:rsid w:val="0ECF36D9"/>
    <w:rsid w:val="0F741A14"/>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9117B6"/>
    <w:rsid w:val="17A809B3"/>
    <w:rsid w:val="18692FEC"/>
    <w:rsid w:val="189004E1"/>
    <w:rsid w:val="19660F13"/>
    <w:rsid w:val="19B3058F"/>
    <w:rsid w:val="19CE7BD6"/>
    <w:rsid w:val="19D410BE"/>
    <w:rsid w:val="19EF64A7"/>
    <w:rsid w:val="1ACC23E4"/>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27C3191"/>
    <w:rsid w:val="53DD6BA8"/>
    <w:rsid w:val="53F21A3F"/>
    <w:rsid w:val="55B2288E"/>
    <w:rsid w:val="55CB4852"/>
    <w:rsid w:val="56325F7A"/>
    <w:rsid w:val="568E078F"/>
    <w:rsid w:val="579E20B3"/>
    <w:rsid w:val="580F50F5"/>
    <w:rsid w:val="58430EF3"/>
    <w:rsid w:val="58AA41B4"/>
    <w:rsid w:val="5956177B"/>
    <w:rsid w:val="59AC6411"/>
    <w:rsid w:val="5A22632C"/>
    <w:rsid w:val="5AB04B75"/>
    <w:rsid w:val="5B494D63"/>
    <w:rsid w:val="5B9F36DE"/>
    <w:rsid w:val="5BDF11E0"/>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BB223D"/>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3193</Words>
  <Characters>3385</Characters>
  <Lines>0</Lines>
  <Paragraphs>0</Paragraphs>
  <TotalTime>80</TotalTime>
  <ScaleCrop>false</ScaleCrop>
  <LinksUpToDate>false</LinksUpToDate>
  <CharactersWithSpaces>3680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g</cp:lastModifiedBy>
  <cp:lastPrinted>2022-03-15T03:10:00Z</cp:lastPrinted>
  <dcterms:modified xsi:type="dcterms:W3CDTF">2022-03-15T04:26:12Z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521051D20F8144039F4B0442A550E0EC</vt:lpwstr>
  </property>
</Properties>
</file>