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襄汾县建筑工程质量评价中心2022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为办理了施工许可证的房屋建筑和市政基础设施工程的质量监督检查工作提供技术服务;对已完工程进行质量评价；配合工程质量事故调查；协助开展建设工程抗震设防和消防工作；协调落实房屋征收与补偿工作；协助完成房地产事务性工作；完成主管部门交办的其他工作任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我单位内设建筑工程质量评价中心，无下属单位。</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年主要工作任务及目标</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为办理了施工许可证的房屋建筑和市政基础设施工程的质量监督检查工作提供技术服务;对已完工程进行质量评价；配合工程质量事故调查；协助开展建设工程抗震设防和消防工作；协调落实房屋征收与补偿工作；协助完成房地产事务性工作；完成主管部门交办的其他工作任务。提高工作质量，更好的服务群众。</w:t>
      </w:r>
      <w:bookmarkStart w:id="0" w:name="_GoBack"/>
      <w:bookmarkEnd w:id="0"/>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rPr>
        <w:t>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rPr>
        <w:t>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建筑工程质量评价中心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w:t>
      </w:r>
      <w:r>
        <w:rPr>
          <w:rFonts w:hint="eastAsia" w:ascii="仿宋_GB2312" w:hAnsi="楷体" w:eastAsia="仿宋_GB2312"/>
          <w:kern w:val="0"/>
          <w:sz w:val="32"/>
          <w:szCs w:val="32"/>
          <w:lang w:eastAsia="zh-CN"/>
        </w:rPr>
        <w:t>总计</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lang w:val="en-US" w:eastAsia="zh-CN"/>
        </w:rPr>
        <w:t>万元，与上年相比增加</w:t>
      </w:r>
      <w:r>
        <w:rPr>
          <w:rFonts w:hint="eastAsia" w:ascii="仿宋_GB2312" w:hAnsi="楷体" w:eastAsia="仿宋_GB2312"/>
          <w:kern w:val="0"/>
          <w:sz w:val="32"/>
          <w:szCs w:val="32"/>
          <w:u w:val="single"/>
          <w:lang w:val="en-US" w:eastAsia="zh-CN"/>
        </w:rPr>
        <w:t>0.19</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支出总计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人员支出调整</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0.87</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0.01</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人员支出调整</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卫生健康</w:t>
      </w:r>
      <w:r>
        <w:rPr>
          <w:rFonts w:hint="eastAsia" w:ascii="仿宋_GB2312" w:hAnsi="楷体" w:eastAsia="仿宋_GB2312"/>
          <w:kern w:val="0"/>
          <w:sz w:val="32"/>
          <w:szCs w:val="32"/>
        </w:rPr>
        <w:t>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0.37</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3、城乡社区支出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5.7</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0.17</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3.07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人员支出调整</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lang w:eastAsia="zh-CN"/>
        </w:rPr>
        <w:t>住房保障</w:t>
      </w:r>
      <w:r>
        <w:rPr>
          <w:rFonts w:hint="eastAsia" w:ascii="仿宋_GB2312" w:hAnsi="楷体" w:eastAsia="仿宋_GB2312"/>
          <w:kern w:val="0"/>
          <w:sz w:val="32"/>
          <w:szCs w:val="32"/>
        </w:rPr>
        <w:t>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0.39</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0.19</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人员支出调整</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建筑工程质量评价中心</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建筑质量评价中心</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eastAsia="zh-CN"/>
        </w:rPr>
        <w:t>建筑工程质量评价中心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w:t>
      </w:r>
      <w:r>
        <w:rPr>
          <w:rFonts w:hint="eastAsia" w:ascii="仿宋_GB2312" w:hAnsi="楷体" w:eastAsia="仿宋_GB2312"/>
          <w:kern w:val="0"/>
          <w:sz w:val="32"/>
          <w:szCs w:val="32"/>
          <w:lang w:eastAsia="zh-CN"/>
        </w:rPr>
        <w:t>总计</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lang w:val="en-US" w:eastAsia="zh-CN"/>
        </w:rPr>
        <w:t>万元，与上年相比增加</w:t>
      </w:r>
      <w:r>
        <w:rPr>
          <w:rFonts w:hint="eastAsia" w:ascii="仿宋_GB2312" w:hAnsi="楷体" w:eastAsia="仿宋_GB2312"/>
          <w:kern w:val="0"/>
          <w:sz w:val="32"/>
          <w:szCs w:val="32"/>
          <w:u w:val="single"/>
          <w:lang w:val="en-US" w:eastAsia="zh-CN"/>
        </w:rPr>
        <w:t>0.19</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支出总计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人员支出调整</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single"/>
          <w:lang w:eastAsia="zh-CN"/>
        </w:rPr>
        <w:t>建筑工程质量评价中心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人员支出调整</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single"/>
          <w:lang w:eastAsia="zh-CN"/>
        </w:rPr>
        <w:t>建筑工程质量评价中心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年度一般公共预算基本支出预算 </w:t>
      </w:r>
      <w:r>
        <w:rPr>
          <w:rFonts w:hint="eastAsia" w:ascii="仿宋_GB2312" w:hAnsi="楷体" w:eastAsia="仿宋_GB2312"/>
          <w:kern w:val="0"/>
          <w:sz w:val="32"/>
          <w:szCs w:val="32"/>
          <w:u w:val="single"/>
          <w:lang w:val="en-US" w:eastAsia="zh-CN"/>
        </w:rPr>
        <w:t>7.34</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7.22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万元。主要包括：基本工资、津贴补贴、社会保障缴费、绩效工资、住房公积金。</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single"/>
          <w:lang w:eastAsia="zh-CN"/>
        </w:rPr>
        <w:t>建筑工程质量评价中心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480" w:firstLineChars="150"/>
        <w:jc w:val="left"/>
        <w:rPr>
          <w:rFonts w:hint="eastAsia" w:ascii="仿宋_GB2312" w:hAnsi="楷体" w:eastAsia="仿宋_GB2312"/>
          <w:kern w:val="0"/>
          <w:sz w:val="32"/>
          <w:szCs w:val="32"/>
          <w:u w:val="single"/>
          <w:lang w:eastAsia="zh-CN"/>
        </w:rPr>
      </w:pPr>
      <w:r>
        <w:rPr>
          <w:rFonts w:hint="eastAsia" w:ascii="仿宋_GB2312" w:hAnsi="楷体" w:eastAsia="仿宋_GB2312"/>
          <w:kern w:val="0"/>
          <w:sz w:val="32"/>
          <w:szCs w:val="32"/>
          <w:u w:val="single"/>
          <w:lang w:eastAsia="zh-CN"/>
        </w:rPr>
        <w:t>建筑工程质量评价中心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w:t>
      </w:r>
      <w:r>
        <w:rPr>
          <w:rFonts w:hint="eastAsia" w:ascii="仿宋_GB2312" w:hAnsi="楷体" w:eastAsia="仿宋_GB2312"/>
          <w:kern w:val="0"/>
          <w:sz w:val="32"/>
          <w:szCs w:val="32"/>
          <w:lang w:eastAsia="zh-CN"/>
        </w:rPr>
        <w:t>无</w:t>
      </w:r>
      <w:r>
        <w:rPr>
          <w:rFonts w:hint="eastAsia" w:ascii="仿宋_GB2312" w:hAnsi="楷体" w:eastAsia="仿宋_GB2312" w:cstheme="minorBidi"/>
          <w:kern w:val="0"/>
          <w:sz w:val="32"/>
          <w:szCs w:val="32"/>
        </w:rPr>
        <w:t>“三公”经费预算</w:t>
      </w:r>
      <w:r>
        <w:rPr>
          <w:rFonts w:hint="eastAsia" w:ascii="仿宋_GB2312" w:hAnsi="楷体" w:eastAsia="仿宋_GB2312" w:cstheme="minorBidi"/>
          <w:kern w:val="0"/>
          <w:sz w:val="32"/>
          <w:szCs w:val="32"/>
          <w:lang w:eastAsia="zh-CN"/>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u w:val="single"/>
          <w:lang w:eastAsia="zh-CN"/>
        </w:rPr>
        <w:t>建筑工程质量评价中心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年一般公共预算机关运行经费预算支出</w:t>
      </w:r>
      <w:r>
        <w:rPr>
          <w:rFonts w:hint="eastAsia" w:ascii="仿宋_GB2312" w:hAnsi="楷体" w:eastAsia="仿宋_GB2312"/>
          <w:kern w:val="0"/>
          <w:sz w:val="32"/>
          <w:szCs w:val="32"/>
          <w:u w:val="single"/>
          <w:lang w:val="en-US" w:eastAsia="zh-CN"/>
        </w:rPr>
        <w:t>0.12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万元。主要原因是</w:t>
      </w:r>
      <w:r>
        <w:rPr>
          <w:rFonts w:hint="eastAsia" w:ascii="仿宋_GB2312" w:hAnsi="楷体" w:eastAsia="仿宋_GB2312"/>
          <w:kern w:val="0"/>
          <w:sz w:val="32"/>
          <w:szCs w:val="32"/>
          <w:lang w:eastAsia="zh-CN"/>
        </w:rPr>
        <w:t>人员支出调整</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u w:val="single"/>
          <w:lang w:eastAsia="zh-CN"/>
        </w:rPr>
        <w:t>建筑工程质量评价中心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政府采购支出预算</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w:t>
      </w:r>
      <w:r>
        <w:rPr>
          <w:rFonts w:hint="eastAsia" w:ascii="仿宋_GB2312" w:hAnsi="楷体" w:eastAsia="仿宋_GB2312"/>
          <w:kern w:val="0"/>
          <w:sz w:val="32"/>
          <w:szCs w:val="32"/>
          <w:lang w:eastAsia="zh-CN"/>
        </w:rPr>
        <w:t>单位无</w:t>
      </w:r>
      <w:r>
        <w:rPr>
          <w:rFonts w:hint="eastAsia" w:ascii="仿宋_GB2312" w:hAnsi="楷体" w:eastAsia="仿宋_GB2312"/>
          <w:kern w:val="0"/>
          <w:sz w:val="32"/>
          <w:szCs w:val="32"/>
        </w:rPr>
        <w:t>项目纳入绩效目标管理，</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楷体" w:eastAsia="仿宋_GB2312"/>
          <w:kern w:val="0"/>
          <w:sz w:val="32"/>
          <w:szCs w:val="32"/>
          <w:u w:val="single"/>
          <w:lang w:eastAsia="zh-CN"/>
        </w:rPr>
        <w:t>建筑工程质量评价中心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w:t>
      </w:r>
      <w:r>
        <w:rPr>
          <w:rFonts w:hint="eastAsia" w:ascii="仿宋_GB2312" w:hAnsi="黑体" w:eastAsia="仿宋_GB2312"/>
          <w:b w:val="0"/>
          <w:bCs/>
          <w:spacing w:val="-16"/>
          <w:kern w:val="0"/>
          <w:sz w:val="32"/>
          <w:szCs w:val="32"/>
        </w:rPr>
        <w:t>未使用政府债券。</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（各</w:t>
      </w:r>
      <w:r>
        <w:rPr>
          <w:rFonts w:hint="eastAsia" w:ascii="仿宋_GB2312" w:hAnsi="仿宋" w:eastAsia="仿宋_GB2312"/>
          <w:kern w:val="0"/>
          <w:sz w:val="32"/>
          <w:szCs w:val="32"/>
          <w:lang w:val="en-US" w:eastAsia="zh-CN"/>
        </w:rPr>
        <w:t>单位</w:t>
      </w:r>
      <w:r>
        <w:rPr>
          <w:rFonts w:hint="eastAsia" w:ascii="仿宋_GB2312" w:hAnsi="仿宋" w:eastAsia="仿宋_GB2312"/>
          <w:kern w:val="0"/>
          <w:sz w:val="32"/>
          <w:szCs w:val="32"/>
        </w:rPr>
        <w:t>应根据公开预算表中对应的经费情况进行名词解释，对未涉及的名词可以删除）</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4429AD"/>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EB07F86"/>
    <w:rsid w:val="1F167368"/>
    <w:rsid w:val="1FD5315A"/>
    <w:rsid w:val="20154AC9"/>
    <w:rsid w:val="20953A56"/>
    <w:rsid w:val="20B465EE"/>
    <w:rsid w:val="22461B1D"/>
    <w:rsid w:val="229A0D7C"/>
    <w:rsid w:val="22CC6E73"/>
    <w:rsid w:val="22DF6CA5"/>
    <w:rsid w:val="23613E3F"/>
    <w:rsid w:val="23C10D48"/>
    <w:rsid w:val="23D52ACB"/>
    <w:rsid w:val="23F2500F"/>
    <w:rsid w:val="24D33A48"/>
    <w:rsid w:val="24DD3604"/>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4FA32EAA"/>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7B55E1B"/>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2022-03-15T08:20:53Z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