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襄汾县国库支付中心2022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pStyle w:val="4"/>
        <w:widowControl/>
        <w:spacing w:before="0" w:beforeAutospacing="0" w:after="0" w:afterAutospacing="0" w:line="27" w:lineRule="atLeas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（1）负责国库集中支付资金的划拨。</w:t>
      </w:r>
    </w:p>
    <w:p>
      <w:pPr>
        <w:pStyle w:val="4"/>
        <w:widowControl/>
        <w:spacing w:before="0" w:beforeAutospacing="0" w:after="0" w:afterAutospacing="0" w:line="27" w:lineRule="atLeas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（2）负责办理国库支付业务。</w:t>
      </w:r>
    </w:p>
    <w:p>
      <w:pPr>
        <w:pStyle w:val="4"/>
        <w:widowControl/>
        <w:spacing w:before="0" w:beforeAutospacing="0" w:after="0" w:afterAutospacing="0" w:line="27" w:lineRule="atLeas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（3）负责国库支付的调查、研究、分析工作。</w:t>
      </w:r>
    </w:p>
    <w:p>
      <w:pPr>
        <w:pStyle w:val="4"/>
        <w:widowControl/>
        <w:spacing w:before="0" w:beforeAutospacing="0" w:after="0" w:afterAutospacing="0" w:line="27" w:lineRule="atLeas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（4）完成主管部门交办的其他工作任务。</w:t>
      </w:r>
    </w:p>
    <w:p>
      <w:pPr>
        <w:widowControl/>
        <w:numPr>
          <w:ilvl w:val="0"/>
          <w:numId w:val="1"/>
        </w:numPr>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单位</w:t>
      </w:r>
      <w:r>
        <w:rPr>
          <w:rFonts w:hint="eastAsia" w:ascii="仿宋_GB2312" w:hAnsi="楷体" w:eastAsia="仿宋_GB2312"/>
          <w:color w:val="auto"/>
          <w:kern w:val="0"/>
          <w:sz w:val="32"/>
          <w:szCs w:val="32"/>
        </w:rPr>
        <w:t>机构设置及预算单位构成情况</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outlineLvl w:val="9"/>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lang w:eastAsia="zh-CN"/>
        </w:rPr>
        <w:t>襄汾县国库支付中心，隶属财政局下属，副科级事业单位，</w:t>
      </w:r>
      <w:r>
        <w:rPr>
          <w:rFonts w:hint="eastAsia" w:ascii="仿宋_GB2312" w:hAnsi="楷体" w:eastAsia="仿宋_GB2312"/>
          <w:color w:val="auto"/>
          <w:kern w:val="0"/>
          <w:sz w:val="32"/>
          <w:szCs w:val="32"/>
        </w:rPr>
        <w:t>根据</w:t>
      </w:r>
      <w:r>
        <w:rPr>
          <w:rFonts w:hint="eastAsia" w:ascii="仿宋_GB2312" w:hAnsi="楷体" w:eastAsia="仿宋_GB2312"/>
          <w:color w:val="auto"/>
          <w:kern w:val="0"/>
          <w:sz w:val="32"/>
          <w:szCs w:val="32"/>
          <w:lang w:eastAsia="zh-CN"/>
        </w:rPr>
        <w:t>单位</w:t>
      </w:r>
      <w:r>
        <w:rPr>
          <w:rFonts w:hint="eastAsia" w:ascii="仿宋_GB2312" w:hAnsi="楷体" w:eastAsia="仿宋_GB2312"/>
          <w:color w:val="auto"/>
          <w:kern w:val="0"/>
          <w:sz w:val="32"/>
          <w:szCs w:val="32"/>
        </w:rPr>
        <w:t>职责分工，本</w:t>
      </w:r>
      <w:r>
        <w:rPr>
          <w:rFonts w:hint="eastAsia" w:ascii="仿宋_GB2312" w:hAnsi="楷体" w:eastAsia="仿宋_GB2312"/>
          <w:color w:val="auto"/>
          <w:kern w:val="0"/>
          <w:sz w:val="32"/>
          <w:szCs w:val="32"/>
          <w:lang w:eastAsia="zh-CN"/>
        </w:rPr>
        <w:t>单位</w:t>
      </w:r>
      <w:r>
        <w:rPr>
          <w:rFonts w:hint="eastAsia" w:ascii="仿宋_GB2312" w:hAnsi="楷体" w:eastAsia="仿宋_GB2312"/>
          <w:color w:val="auto"/>
          <w:kern w:val="0"/>
          <w:sz w:val="32"/>
          <w:szCs w:val="32"/>
        </w:rPr>
        <w:t>内设</w:t>
      </w:r>
      <w:r>
        <w:rPr>
          <w:rFonts w:hint="eastAsia" w:ascii="仿宋_GB2312" w:hAnsi="楷体" w:eastAsia="仿宋_GB2312"/>
          <w:color w:val="auto"/>
          <w:kern w:val="0"/>
          <w:sz w:val="32"/>
          <w:szCs w:val="32"/>
          <w:lang w:eastAsia="zh-CN"/>
        </w:rPr>
        <w:t>八部一室，</w:t>
      </w:r>
      <w:r>
        <w:rPr>
          <w:rFonts w:hint="eastAsia" w:ascii="仿宋_GB2312" w:hAnsi="楷体" w:eastAsia="仿宋_GB2312"/>
          <w:color w:val="auto"/>
          <w:kern w:val="0"/>
          <w:sz w:val="32"/>
          <w:szCs w:val="32"/>
        </w:rPr>
        <w:t>包括</w:t>
      </w:r>
      <w:r>
        <w:rPr>
          <w:rFonts w:hint="eastAsia" w:ascii="仿宋_GB2312" w:hAnsi="楷体" w:eastAsia="仿宋_GB2312"/>
          <w:color w:val="auto"/>
          <w:kern w:val="0"/>
          <w:sz w:val="32"/>
          <w:szCs w:val="32"/>
          <w:lang w:eastAsia="zh-CN"/>
        </w:rPr>
        <w:t>办公室、会计部、支付部、计农部、政法部、经贸部、党群部、科教部、乡财部。</w:t>
      </w:r>
      <w:r>
        <w:rPr>
          <w:rFonts w:hint="eastAsia" w:ascii="仿宋_GB2312" w:hAnsi="楷体" w:eastAsia="仿宋_GB2312"/>
          <w:color w:val="auto"/>
          <w:kern w:val="0"/>
          <w:sz w:val="32"/>
          <w:szCs w:val="32"/>
        </w:rPr>
        <w:t>本</w:t>
      </w:r>
      <w:r>
        <w:rPr>
          <w:rFonts w:hint="eastAsia" w:ascii="仿宋_GB2312" w:hAnsi="楷体" w:eastAsia="仿宋_GB2312"/>
          <w:color w:val="auto"/>
          <w:kern w:val="0"/>
          <w:sz w:val="32"/>
          <w:szCs w:val="32"/>
          <w:lang w:eastAsia="zh-CN"/>
        </w:rPr>
        <w:t>单位无</w:t>
      </w:r>
      <w:r>
        <w:rPr>
          <w:rFonts w:hint="eastAsia" w:ascii="仿宋_GB2312" w:hAnsi="楷体" w:eastAsia="仿宋_GB2312"/>
          <w:color w:val="auto"/>
          <w:kern w:val="0"/>
          <w:sz w:val="32"/>
          <w:szCs w:val="32"/>
        </w:rPr>
        <w:t>下属单位。</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负责</w:t>
      </w:r>
      <w:bookmarkStart w:id="0" w:name="_GoBack"/>
      <w:bookmarkEnd w:id="0"/>
      <w:r>
        <w:rPr>
          <w:rFonts w:hint="eastAsia" w:ascii="仿宋_GB2312" w:hAnsi="楷体" w:eastAsia="仿宋_GB2312"/>
          <w:kern w:val="0"/>
          <w:sz w:val="32"/>
          <w:szCs w:val="32"/>
          <w:lang w:eastAsia="zh-CN"/>
        </w:rPr>
        <w:t>全县行政事业单位、非预算单位及预算专户的国库支付业务，完成主管部门交办的其他工作任务。</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襄汾县国库支付中心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rPr>
        <w:t>560.2388</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67.1712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10.71</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67.1712</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10.71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人员项目收入预算减少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．一般公共服务（类）支出464.0269万元，主要用于</w:t>
      </w:r>
      <w:r>
        <w:rPr>
          <w:rFonts w:hint="eastAsia" w:ascii="仿宋_GB2312" w:hAnsi="楷体" w:eastAsia="仿宋_GB2312"/>
          <w:kern w:val="0"/>
          <w:sz w:val="32"/>
          <w:szCs w:val="32"/>
          <w:lang w:eastAsia="zh-CN"/>
        </w:rPr>
        <w:t>人员工资和项目支出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lang w:val="en-US" w:eastAsia="zh-CN"/>
        </w:rPr>
        <w:t>70.1831</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13.14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人员类项目支出预算减少</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、卫生健康支出、住房保障支出</w:t>
      </w:r>
      <w:r>
        <w:rPr>
          <w:rFonts w:hint="eastAsia" w:ascii="仿宋_GB2312" w:hAnsi="楷体" w:eastAsia="仿宋_GB2312"/>
          <w:kern w:val="0"/>
          <w:sz w:val="32"/>
          <w:szCs w:val="32"/>
        </w:rPr>
        <w:t>，主要用于</w:t>
      </w:r>
      <w:r>
        <w:rPr>
          <w:rFonts w:hint="eastAsia" w:ascii="仿宋_GB2312" w:hAnsi="楷体" w:eastAsia="仿宋_GB2312"/>
          <w:kern w:val="0"/>
          <w:sz w:val="32"/>
          <w:szCs w:val="32"/>
          <w:lang w:eastAsia="zh-CN"/>
        </w:rPr>
        <w:t>人员五险一金财政配套部分，分别为52.4805万元、21.0988万元、22.6326万元</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rPr>
        <w:t>412.2388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6.8288</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1.68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人员工资与五险一金配套资金增加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148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74</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33.33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人员类支出项目减少</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lang w:eastAsia="zh-CN"/>
        </w:rPr>
        <w:t>襄汾县国库支付中心</w:t>
      </w:r>
      <w:r>
        <w:rPr>
          <w:rFonts w:hint="eastAsia" w:ascii="仿宋_GB2312" w:hAnsi="楷体" w:eastAsia="仿宋_GB2312"/>
          <w:kern w:val="0"/>
          <w:sz w:val="32"/>
          <w:szCs w:val="32"/>
        </w:rPr>
        <w:t>单位本年收入预算合计</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u w:val="none"/>
        </w:rPr>
        <w:t xml:space="preserve">占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襄汾县国库支付中心</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none"/>
        </w:rPr>
        <w:t>412.2388</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73.58</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148</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26.42</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襄汾县国库支付中心2022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67.1712</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10.71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人员类项目收、支预算减少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襄汾县国库支付中心2022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rPr>
        <w:t>560.238</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67.1712</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10.71</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人员类项目支出预算减少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襄汾县国库支付中心2022</w:t>
      </w:r>
      <w:r>
        <w:rPr>
          <w:rFonts w:hint="eastAsia" w:ascii="仿宋_GB2312" w:hAnsi="楷体" w:eastAsia="仿宋_GB2312"/>
          <w:kern w:val="0"/>
          <w:sz w:val="32"/>
          <w:szCs w:val="32"/>
        </w:rPr>
        <w:t>年度一般公共预算基本支出预算412.2388万元，其中：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（一）人员经费408.9988万元。主要包括：基本工资、津贴补贴、绩效工资、奖励金、退休费、生活补助、</w:t>
      </w:r>
      <w:r>
        <w:rPr>
          <w:rFonts w:hint="eastAsia" w:ascii="仿宋_GB2312" w:hAnsi="楷体" w:eastAsia="仿宋_GB2312"/>
          <w:kern w:val="0"/>
          <w:sz w:val="32"/>
          <w:szCs w:val="32"/>
          <w:lang w:eastAsia="zh-CN"/>
        </w:rPr>
        <w:t>机关事业单位基本养老保险</w:t>
      </w:r>
      <w:r>
        <w:rPr>
          <w:rFonts w:hint="eastAsia" w:ascii="仿宋_GB2312" w:hAnsi="楷体" w:eastAsia="仿宋_GB2312"/>
          <w:kern w:val="0"/>
          <w:sz w:val="32"/>
          <w:szCs w:val="32"/>
        </w:rPr>
        <w:t>、其他社会保障缴费</w:t>
      </w:r>
      <w:r>
        <w:rPr>
          <w:rFonts w:hint="eastAsia" w:ascii="仿宋_GB2312" w:hAnsi="楷体" w:eastAsia="仿宋_GB2312"/>
          <w:kern w:val="0"/>
          <w:sz w:val="32"/>
          <w:szCs w:val="32"/>
          <w:lang w:eastAsia="zh-CN"/>
        </w:rPr>
        <w:t>、职工基本医疗保险缴费、住房公积金</w:t>
      </w:r>
      <w:r>
        <w:rPr>
          <w:rFonts w:hint="eastAsia" w:ascii="仿宋_GB2312" w:hAnsi="楷体" w:eastAsia="仿宋_GB2312"/>
          <w:kern w:val="0"/>
          <w:sz w:val="32"/>
          <w:szCs w:val="32"/>
        </w:rPr>
        <w:t>。</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（二）公用经费3.24万元。主要包括：办公费。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襄汾县国库支付中心2022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襄汾县国库支付中心2022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本单位无机关运行经费。</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26.54</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4.54</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22</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148</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148</w:t>
      </w:r>
      <w:r>
        <w:rPr>
          <w:rFonts w:hint="eastAsia" w:ascii="仿宋_GB2312" w:hAnsi="楷体" w:eastAsia="仿宋_GB2312"/>
          <w:kern w:val="0"/>
          <w:sz w:val="32"/>
          <w:szCs w:val="32"/>
        </w:rPr>
        <w:t>万元。</w:t>
      </w:r>
    </w:p>
    <w:p>
      <w:pPr>
        <w:widowControl/>
        <w:numPr>
          <w:ilvl w:val="0"/>
          <w:numId w:val="3"/>
        </w:numPr>
        <w:spacing w:line="560" w:lineRule="exact"/>
        <w:ind w:left="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leftChars="200" w:firstLine="320" w:firstLineChars="100"/>
        <w:rPr>
          <w:rFonts w:hint="eastAsia" w:ascii="仿宋_GB2312" w:hAnsi="仿宋" w:eastAsia="仿宋_GB2312"/>
          <w:kern w:val="0"/>
          <w:sz w:val="32"/>
          <w:szCs w:val="32"/>
        </w:rPr>
      </w:pPr>
      <w:r>
        <w:rPr>
          <w:rFonts w:hint="eastAsia" w:ascii="仿宋_GB2312" w:hAnsi="仿宋" w:eastAsia="仿宋_GB2312"/>
          <w:kern w:val="0"/>
          <w:sz w:val="32"/>
          <w:szCs w:val="32"/>
        </w:rPr>
        <w:t>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本单位未使用一般债券。</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2.专项债券公开</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仿宋" w:eastAsia="仿宋_GB2312"/>
          <w:kern w:val="0"/>
          <w:sz w:val="32"/>
          <w:szCs w:val="32"/>
          <w:lang w:eastAsia="zh-CN"/>
        </w:rPr>
        <w:t>本单位未使用专项债卷。</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2F7672F5"/>
    <w:multiLevelType w:val="singleLevel"/>
    <w:tmpl w:val="2F7672F5"/>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496741"/>
    <w:rsid w:val="02F71C94"/>
    <w:rsid w:val="042A46B1"/>
    <w:rsid w:val="047252B7"/>
    <w:rsid w:val="04E903A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B464C1"/>
    <w:rsid w:val="10D40D57"/>
    <w:rsid w:val="10F95EB1"/>
    <w:rsid w:val="11862688"/>
    <w:rsid w:val="11910BD1"/>
    <w:rsid w:val="12AC5325"/>
    <w:rsid w:val="13D31AA5"/>
    <w:rsid w:val="14382EFE"/>
    <w:rsid w:val="14897DBA"/>
    <w:rsid w:val="15A02F9E"/>
    <w:rsid w:val="16027FF2"/>
    <w:rsid w:val="16407400"/>
    <w:rsid w:val="164D2E81"/>
    <w:rsid w:val="16A97B7B"/>
    <w:rsid w:val="16B00739"/>
    <w:rsid w:val="16EF2637"/>
    <w:rsid w:val="17A809B3"/>
    <w:rsid w:val="18692FEC"/>
    <w:rsid w:val="189004E1"/>
    <w:rsid w:val="19660F13"/>
    <w:rsid w:val="19B3058F"/>
    <w:rsid w:val="19CE7BD6"/>
    <w:rsid w:val="19D410BE"/>
    <w:rsid w:val="19EF64A7"/>
    <w:rsid w:val="19F606A9"/>
    <w:rsid w:val="1ACC23E4"/>
    <w:rsid w:val="1AEA4822"/>
    <w:rsid w:val="1DBF43F1"/>
    <w:rsid w:val="1E46404A"/>
    <w:rsid w:val="1E8B07BA"/>
    <w:rsid w:val="1F167368"/>
    <w:rsid w:val="1FD5315A"/>
    <w:rsid w:val="20154AC9"/>
    <w:rsid w:val="20953A56"/>
    <w:rsid w:val="20B465EE"/>
    <w:rsid w:val="218350A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CCD29FC"/>
    <w:rsid w:val="2D282446"/>
    <w:rsid w:val="2DFF008B"/>
    <w:rsid w:val="2E08317D"/>
    <w:rsid w:val="2E4538B8"/>
    <w:rsid w:val="2EAB2130"/>
    <w:rsid w:val="30B46CA3"/>
    <w:rsid w:val="3108141F"/>
    <w:rsid w:val="316856A6"/>
    <w:rsid w:val="31CA3EE9"/>
    <w:rsid w:val="32103D80"/>
    <w:rsid w:val="32673A99"/>
    <w:rsid w:val="32CE2438"/>
    <w:rsid w:val="33B72E06"/>
    <w:rsid w:val="33C25568"/>
    <w:rsid w:val="34732E94"/>
    <w:rsid w:val="34C942F5"/>
    <w:rsid w:val="34DE6D61"/>
    <w:rsid w:val="353264F2"/>
    <w:rsid w:val="35780C7F"/>
    <w:rsid w:val="360343A0"/>
    <w:rsid w:val="36951834"/>
    <w:rsid w:val="36C55314"/>
    <w:rsid w:val="36D55DA2"/>
    <w:rsid w:val="373B78F2"/>
    <w:rsid w:val="395C094E"/>
    <w:rsid w:val="397841A2"/>
    <w:rsid w:val="39B865D7"/>
    <w:rsid w:val="39C35268"/>
    <w:rsid w:val="39FD2297"/>
    <w:rsid w:val="3ABA5314"/>
    <w:rsid w:val="3B0872A5"/>
    <w:rsid w:val="3B937481"/>
    <w:rsid w:val="3C8B2D2A"/>
    <w:rsid w:val="3C9A09D4"/>
    <w:rsid w:val="3D036264"/>
    <w:rsid w:val="3D11386C"/>
    <w:rsid w:val="3D6345D6"/>
    <w:rsid w:val="3F0D5E27"/>
    <w:rsid w:val="3F510BAC"/>
    <w:rsid w:val="3F5B1A54"/>
    <w:rsid w:val="3FF763B7"/>
    <w:rsid w:val="4010633E"/>
    <w:rsid w:val="40195EFF"/>
    <w:rsid w:val="406929B7"/>
    <w:rsid w:val="41274A97"/>
    <w:rsid w:val="413855EC"/>
    <w:rsid w:val="41F73716"/>
    <w:rsid w:val="42237CDF"/>
    <w:rsid w:val="42314B4F"/>
    <w:rsid w:val="42321896"/>
    <w:rsid w:val="42932653"/>
    <w:rsid w:val="42A87774"/>
    <w:rsid w:val="436B0382"/>
    <w:rsid w:val="44130C4C"/>
    <w:rsid w:val="447245EE"/>
    <w:rsid w:val="44B8486B"/>
    <w:rsid w:val="45047640"/>
    <w:rsid w:val="457C07BD"/>
    <w:rsid w:val="46463CE7"/>
    <w:rsid w:val="479C322F"/>
    <w:rsid w:val="47EE3BCE"/>
    <w:rsid w:val="48882984"/>
    <w:rsid w:val="49FF0CFB"/>
    <w:rsid w:val="4A23796D"/>
    <w:rsid w:val="4B517DBB"/>
    <w:rsid w:val="4BEC58E9"/>
    <w:rsid w:val="4BF3571C"/>
    <w:rsid w:val="4C067AB4"/>
    <w:rsid w:val="4CB45D69"/>
    <w:rsid w:val="4CCC2331"/>
    <w:rsid w:val="4CE065F5"/>
    <w:rsid w:val="4D6954BF"/>
    <w:rsid w:val="50BC7B39"/>
    <w:rsid w:val="527C3191"/>
    <w:rsid w:val="53DD6BA8"/>
    <w:rsid w:val="53F21A3F"/>
    <w:rsid w:val="55B2288E"/>
    <w:rsid w:val="55CB4852"/>
    <w:rsid w:val="56325F7A"/>
    <w:rsid w:val="568E078F"/>
    <w:rsid w:val="579E20B3"/>
    <w:rsid w:val="58430EF3"/>
    <w:rsid w:val="58942322"/>
    <w:rsid w:val="58AA41B4"/>
    <w:rsid w:val="59AC6411"/>
    <w:rsid w:val="5A22632C"/>
    <w:rsid w:val="5AB04B75"/>
    <w:rsid w:val="5B494D63"/>
    <w:rsid w:val="5B9F36DE"/>
    <w:rsid w:val="5BDF11E0"/>
    <w:rsid w:val="5CA16867"/>
    <w:rsid w:val="5D15689C"/>
    <w:rsid w:val="5EA3505D"/>
    <w:rsid w:val="5F074BD6"/>
    <w:rsid w:val="5F4C57DE"/>
    <w:rsid w:val="5F767359"/>
    <w:rsid w:val="5FA40E1A"/>
    <w:rsid w:val="5FAE6B95"/>
    <w:rsid w:val="60AD072C"/>
    <w:rsid w:val="618849D8"/>
    <w:rsid w:val="61A97E4C"/>
    <w:rsid w:val="61C61910"/>
    <w:rsid w:val="62680D4E"/>
    <w:rsid w:val="63804CC1"/>
    <w:rsid w:val="63CA0901"/>
    <w:rsid w:val="63DC3A6F"/>
    <w:rsid w:val="64535518"/>
    <w:rsid w:val="64A47E04"/>
    <w:rsid w:val="64AE406A"/>
    <w:rsid w:val="64E61465"/>
    <w:rsid w:val="65646FB6"/>
    <w:rsid w:val="65A60FF6"/>
    <w:rsid w:val="67573C0D"/>
    <w:rsid w:val="67606103"/>
    <w:rsid w:val="67EB6718"/>
    <w:rsid w:val="68C7713A"/>
    <w:rsid w:val="68F242AC"/>
    <w:rsid w:val="69877276"/>
    <w:rsid w:val="6ABB4B62"/>
    <w:rsid w:val="6B73082E"/>
    <w:rsid w:val="6DD00F51"/>
    <w:rsid w:val="6E130B2A"/>
    <w:rsid w:val="6E5205D8"/>
    <w:rsid w:val="6EA00089"/>
    <w:rsid w:val="6EDA2E31"/>
    <w:rsid w:val="6FC77BC7"/>
    <w:rsid w:val="70C61C0B"/>
    <w:rsid w:val="70E334F7"/>
    <w:rsid w:val="71D47169"/>
    <w:rsid w:val="720A3FB4"/>
    <w:rsid w:val="72C23FBE"/>
    <w:rsid w:val="72F81C9E"/>
    <w:rsid w:val="736E3BAB"/>
    <w:rsid w:val="74102FF1"/>
    <w:rsid w:val="751D0C5C"/>
    <w:rsid w:val="75A56425"/>
    <w:rsid w:val="761362F3"/>
    <w:rsid w:val="77481BE2"/>
    <w:rsid w:val="77915F20"/>
    <w:rsid w:val="78317136"/>
    <w:rsid w:val="78801057"/>
    <w:rsid w:val="78EB298A"/>
    <w:rsid w:val="79333014"/>
    <w:rsid w:val="7A0A6456"/>
    <w:rsid w:val="7A82651F"/>
    <w:rsid w:val="7ADE0B82"/>
    <w:rsid w:val="7AED2B21"/>
    <w:rsid w:val="7B3A5C4F"/>
    <w:rsid w:val="7B787240"/>
    <w:rsid w:val="7BB41C66"/>
    <w:rsid w:val="7C560D3A"/>
    <w:rsid w:val="7C605D84"/>
    <w:rsid w:val="7CB85B57"/>
    <w:rsid w:val="7CBB5016"/>
    <w:rsid w:val="7DAF3E53"/>
    <w:rsid w:val="7DD51D8B"/>
    <w:rsid w:val="7E19693D"/>
    <w:rsid w:val="7E2E3893"/>
    <w:rsid w:val="7E6B6F8A"/>
    <w:rsid w:val="7F952CF3"/>
    <w:rsid w:val="7F96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盼</cp:lastModifiedBy>
  <cp:lastPrinted>2022-03-11T09:25:00Z</cp:lastPrinted>
  <dcterms:modified xsi:type="dcterms:W3CDTF">2022-03-14T08:39:42Z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C7BB6A058981483BB478D2CCB1CEC1A7</vt:lpwstr>
  </property>
</Properties>
</file>