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襄汾县防震减灾中心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实施防震减灾的法律、法规和规章。</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会同有关部门编制防震减灾规划和拟定破坏性地震应急预案，报同级人民政府批准后实施。</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拟定防震减灾年度计划并组织实施。</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管理地震监测预报工作，提出地震趋势预报意见。</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管理震害预测、震情和灾情速报及地震灾害损失评估。</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(6）参与震区救灾和制定重建规划。</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会同有关部门开展防震减灾知识的宣传教育工作。</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承担县防震减灾指挥部办公室的日常工作，参与制定全县破坏性地震应急预案和综合防御措施，并督查落实。</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承担县政府交办的其他事项。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襄汾县</w:t>
      </w:r>
      <w:r>
        <w:rPr>
          <w:rFonts w:hint="eastAsia" w:ascii="仿宋_GB2312" w:hAnsi="仿宋_GB2312" w:eastAsia="仿宋_GB2312" w:cs="仿宋_GB2312"/>
          <w:sz w:val="32"/>
          <w:szCs w:val="32"/>
          <w:lang w:eastAsia="zh-CN"/>
        </w:rPr>
        <w:t>防震减灾中心</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正科级事业单位</w:t>
      </w:r>
      <w:r>
        <w:rPr>
          <w:rFonts w:hint="eastAsia" w:ascii="仿宋_GB2312" w:hAnsi="仿宋_GB2312" w:eastAsia="仿宋_GB2312" w:cs="仿宋_GB2312"/>
          <w:sz w:val="32"/>
          <w:szCs w:val="32"/>
        </w:rPr>
        <w:t>，主管全县防</w:t>
      </w:r>
      <w:r>
        <w:rPr>
          <w:rFonts w:hint="eastAsia" w:ascii="仿宋_GB2312" w:hAnsi="仿宋_GB2312" w:eastAsia="仿宋_GB2312" w:cs="仿宋_GB2312"/>
          <w:sz w:val="32"/>
          <w:szCs w:val="32"/>
          <w:lang w:eastAsia="zh-CN"/>
        </w:rPr>
        <w:t>震</w:t>
      </w:r>
      <w:r>
        <w:rPr>
          <w:rFonts w:hint="eastAsia" w:ascii="仿宋_GB2312" w:hAnsi="仿宋_GB2312" w:eastAsia="仿宋_GB2312" w:cs="仿宋_GB2312"/>
          <w:sz w:val="32"/>
          <w:szCs w:val="32"/>
        </w:rPr>
        <w:t>减灾工作。下设办公室、综合股、监测站。</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本单位无下属单位</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p>
    <w:p>
      <w:pPr>
        <w:spacing w:line="600" w:lineRule="exact"/>
        <w:ind w:firstLine="640" w:firstLineChars="200"/>
        <w:rPr>
          <w:rFonts w:ascii="仿宋" w:hAnsi="仿宋" w:eastAsia="仿宋" w:cs="仿宋"/>
          <w:b w:val="0"/>
          <w:bCs/>
          <w:sz w:val="32"/>
          <w:szCs w:val="32"/>
        </w:rPr>
      </w:pPr>
      <w:r>
        <w:rPr>
          <w:rFonts w:hint="eastAsia" w:ascii="仿宋" w:hAnsi="仿宋" w:eastAsia="仿宋" w:cs="仿宋"/>
          <w:b w:val="0"/>
          <w:bCs w:val="0"/>
          <w:sz w:val="32"/>
          <w:szCs w:val="32"/>
        </w:rPr>
        <w:t>一是坚持认真学习贯彻落实</w:t>
      </w:r>
      <w:r>
        <w:rPr>
          <w:rFonts w:hint="eastAsia" w:ascii="仿宋" w:hAnsi="仿宋" w:eastAsia="仿宋" w:cs="仿宋"/>
          <w:b w:val="0"/>
          <w:bCs w:val="0"/>
          <w:sz w:val="32"/>
          <w:szCs w:val="32"/>
          <w:lang w:eastAsia="zh-CN"/>
        </w:rPr>
        <w:t>习近平总书记</w:t>
      </w:r>
      <w:r>
        <w:rPr>
          <w:rFonts w:hint="eastAsia" w:ascii="仿宋" w:hAnsi="仿宋" w:eastAsia="仿宋" w:cs="仿宋"/>
          <w:b w:val="0"/>
          <w:bCs w:val="0"/>
          <w:sz w:val="32"/>
          <w:szCs w:val="32"/>
        </w:rPr>
        <w:t>关于防灾减灾工作的重要论述精神，增强防震减灾工作的思想理论武装。</w:t>
      </w:r>
      <w:r>
        <w:rPr>
          <w:rFonts w:hint="eastAsia" w:ascii="仿宋" w:hAnsi="仿宋" w:eastAsia="仿宋" w:cs="仿宋"/>
          <w:sz w:val="32"/>
          <w:szCs w:val="32"/>
        </w:rPr>
        <w:t>进一步认真学习党的十九届五中全会精神和</w:t>
      </w:r>
      <w:r>
        <w:rPr>
          <w:rFonts w:hint="eastAsia" w:ascii="仿宋" w:hAnsi="仿宋" w:eastAsia="仿宋" w:cs="仿宋"/>
          <w:sz w:val="32"/>
          <w:szCs w:val="32"/>
          <w:lang w:eastAsia="zh-CN"/>
        </w:rPr>
        <w:t>习近平总书记</w:t>
      </w:r>
      <w:r>
        <w:rPr>
          <w:rFonts w:hint="eastAsia" w:ascii="仿宋" w:hAnsi="仿宋" w:eastAsia="仿宋" w:cs="仿宋"/>
          <w:sz w:val="32"/>
          <w:szCs w:val="32"/>
        </w:rPr>
        <w:t>关于防灾减灾工作的重要论述精神，坚决</w:t>
      </w:r>
      <w:r>
        <w:rPr>
          <w:rStyle w:val="7"/>
          <w:rFonts w:hint="eastAsia" w:ascii="仿宋" w:hAnsi="仿宋" w:eastAsia="仿宋" w:cs="仿宋"/>
          <w:b w:val="0"/>
          <w:bCs/>
          <w:color w:val="2B2B2B"/>
          <w:sz w:val="32"/>
          <w:szCs w:val="32"/>
          <w:shd w:val="clear" w:color="auto" w:fill="FFFFFF"/>
        </w:rPr>
        <w:t>树牢安全发展理念，不断提升防灾减灾救灾能力。守初心担使命，积极对标一流，检视问题不足，补齐工作短板，狠抓问题整改落实，持续强化风险防控，积极推进防震减灾应急管理体系和能力现代化。</w:t>
      </w:r>
    </w:p>
    <w:p>
      <w:pPr>
        <w:spacing w:line="600" w:lineRule="exact"/>
        <w:ind w:firstLine="640" w:firstLineChars="200"/>
        <w:rPr>
          <w:rFonts w:ascii="仿宋" w:hAnsi="仿宋" w:eastAsia="仿宋" w:cs="仿宋"/>
          <w:sz w:val="32"/>
          <w:szCs w:val="32"/>
        </w:rPr>
      </w:pPr>
      <w:r>
        <w:rPr>
          <w:rFonts w:hint="eastAsia" w:ascii="仿宋" w:hAnsi="仿宋" w:eastAsia="仿宋" w:cs="仿宋"/>
          <w:b w:val="0"/>
          <w:bCs w:val="0"/>
          <w:sz w:val="32"/>
          <w:szCs w:val="32"/>
        </w:rPr>
        <w:t>二是继续强化防震减灾科普宣传，促进防震减灾知识进单位、进学校、进家庭。坚持主动、慎重、科学、有效的原</w:t>
      </w:r>
      <w:r>
        <w:rPr>
          <w:rFonts w:hint="eastAsia" w:ascii="仿宋" w:hAnsi="仿宋" w:eastAsia="仿宋" w:cs="仿宋"/>
          <w:sz w:val="32"/>
          <w:szCs w:val="32"/>
        </w:rPr>
        <w:t>则，坚持把学校作为防震减灾宣传教育的主要阵地，坚持防震减灾宣传“进机关、进校园、进社区、进企业、进农村、进家庭”活动，开展多种形式的宣传教育活动，利用多种媒体，特别是自媒体等宣传媒介普及防震减灾法律法规及防震减灾应急知识，使广大民众切实增强依法进行防震减灾的法律意识，提高广大民众的地震应急自救、互救能力；努力建设高标准防震减灾科普示范学校和示范社区，以点带面推进全县防震减灾宣传工作迈上新台阶。</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 w:hAnsi="仿宋" w:eastAsia="仿宋" w:cs="仿宋"/>
          <w:b w:val="0"/>
          <w:bCs w:val="0"/>
          <w:sz w:val="32"/>
          <w:szCs w:val="32"/>
        </w:rPr>
        <w:t>三是不断提升干部职工业务能力，加强监测网络建设提升防震减灾水平。继续加强防震减灾中心干部职工管理，强</w:t>
      </w:r>
      <w:r>
        <w:rPr>
          <w:rFonts w:hint="eastAsia" w:ascii="仿宋" w:hAnsi="仿宋" w:eastAsia="仿宋" w:cs="仿宋"/>
          <w:sz w:val="32"/>
          <w:szCs w:val="32"/>
        </w:rPr>
        <w:t>化业务能力提升，增强面对新形势应对新挑战解决新问题的业务能力。不断优化宏观地震监测点建设，加强观测员队伍培训管理，确保监测点靠得住、用得上、管得住。加强统筹协调，保障微观监测点、监测台周边环境安全，为监测设备安全平稳有效运行提供安全保证，确保监测数据的真实准确。</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u w:val="none"/>
          <w:lang w:eastAsia="zh-CN"/>
        </w:rPr>
        <w:t>襄汾县防震减灾中心</w:t>
      </w:r>
      <w:r>
        <w:rPr>
          <w:rFonts w:hint="eastAsia" w:ascii="仿宋_GB2312" w:hAnsi="楷体" w:eastAsia="仿宋_GB2312"/>
          <w:color w:val="auto"/>
          <w:kern w:val="0"/>
          <w:sz w:val="32"/>
          <w:szCs w:val="32"/>
          <w:lang w:eastAsia="zh-CN"/>
        </w:rPr>
        <w:t>2022</w:t>
      </w:r>
      <w:r>
        <w:rPr>
          <w:rFonts w:hint="eastAsia" w:ascii="仿宋_GB2312" w:hAnsi="楷体" w:eastAsia="仿宋_GB2312"/>
          <w:color w:val="auto"/>
          <w:kern w:val="0"/>
          <w:sz w:val="32"/>
          <w:szCs w:val="32"/>
        </w:rPr>
        <w:t>年度收入</w:t>
      </w:r>
      <w:r>
        <w:rPr>
          <w:rFonts w:hint="eastAsia" w:ascii="仿宋_GB2312" w:hAnsi="楷体" w:eastAsia="仿宋_GB2312"/>
          <w:color w:val="auto"/>
          <w:kern w:val="0"/>
          <w:sz w:val="32"/>
          <w:szCs w:val="32"/>
          <w:lang w:val="en-US" w:eastAsia="zh-CN"/>
        </w:rPr>
        <w:t>125.52万元</w:t>
      </w:r>
      <w:r>
        <w:rPr>
          <w:rFonts w:hint="eastAsia" w:ascii="仿宋_GB2312" w:hAnsi="楷体" w:eastAsia="仿宋_GB2312"/>
          <w:color w:val="auto"/>
          <w:kern w:val="0"/>
          <w:sz w:val="32"/>
          <w:szCs w:val="32"/>
        </w:rPr>
        <w:t>、与上年相比</w:t>
      </w:r>
      <w:r>
        <w:rPr>
          <w:rFonts w:hint="eastAsia" w:ascii="仿宋_GB2312" w:hAnsi="楷体" w:eastAsia="仿宋_GB2312"/>
          <w:color w:val="auto"/>
          <w:kern w:val="0"/>
          <w:sz w:val="32"/>
          <w:szCs w:val="32"/>
          <w:lang w:eastAsia="zh-CN"/>
        </w:rPr>
        <w:t>收入减少</w:t>
      </w:r>
      <w:r>
        <w:rPr>
          <w:rFonts w:hint="eastAsia" w:ascii="仿宋_GB2312" w:hAnsi="楷体" w:eastAsia="仿宋_GB2312"/>
          <w:color w:val="auto"/>
          <w:kern w:val="0"/>
          <w:sz w:val="32"/>
          <w:szCs w:val="32"/>
          <w:lang w:val="en-US" w:eastAsia="zh-CN"/>
        </w:rPr>
        <w:t>7.15万元，</w:t>
      </w:r>
      <w:r>
        <w:rPr>
          <w:rFonts w:hint="eastAsia" w:ascii="仿宋_GB2312" w:hAnsi="楷体" w:eastAsia="仿宋_GB2312"/>
          <w:color w:val="auto"/>
          <w:kern w:val="0"/>
          <w:sz w:val="32"/>
          <w:szCs w:val="32"/>
        </w:rPr>
        <w:t>减少</w:t>
      </w:r>
      <w:r>
        <w:rPr>
          <w:rFonts w:hint="eastAsia" w:ascii="仿宋_GB2312" w:hAnsi="楷体" w:eastAsia="仿宋_GB2312"/>
          <w:color w:val="auto"/>
          <w:kern w:val="0"/>
          <w:sz w:val="32"/>
          <w:szCs w:val="32"/>
          <w:lang w:val="en-US" w:eastAsia="zh-CN"/>
        </w:rPr>
        <w:t>53.89</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。支出预算</w:t>
      </w:r>
      <w:r>
        <w:rPr>
          <w:rFonts w:hint="eastAsia" w:ascii="仿宋_GB2312" w:hAnsi="楷体" w:eastAsia="仿宋_GB2312"/>
          <w:color w:val="auto"/>
          <w:kern w:val="0"/>
          <w:sz w:val="32"/>
          <w:szCs w:val="32"/>
          <w:u w:val="none"/>
          <w:lang w:val="en-US" w:eastAsia="zh-CN"/>
        </w:rPr>
        <w:t>125.52</w:t>
      </w:r>
      <w:r>
        <w:rPr>
          <w:rFonts w:hint="eastAsia" w:ascii="仿宋_GB2312" w:hAnsi="楷体" w:eastAsia="仿宋_GB2312"/>
          <w:color w:val="auto"/>
          <w:kern w:val="0"/>
          <w:sz w:val="32"/>
          <w:szCs w:val="32"/>
        </w:rPr>
        <w:t>万元，与上年相比支</w:t>
      </w:r>
      <w:r>
        <w:rPr>
          <w:rFonts w:hint="eastAsia" w:ascii="仿宋_GB2312" w:hAnsi="楷体" w:eastAsia="仿宋_GB2312"/>
          <w:color w:val="auto"/>
          <w:kern w:val="0"/>
          <w:sz w:val="32"/>
          <w:szCs w:val="32"/>
          <w:lang w:eastAsia="zh-CN"/>
        </w:rPr>
        <w:t>出</w:t>
      </w:r>
      <w:r>
        <w:rPr>
          <w:rFonts w:hint="eastAsia" w:ascii="仿宋_GB2312" w:hAnsi="楷体" w:eastAsia="仿宋_GB2312"/>
          <w:color w:val="auto"/>
          <w:kern w:val="0"/>
          <w:sz w:val="32"/>
          <w:szCs w:val="32"/>
        </w:rPr>
        <w:t>预算减少</w:t>
      </w:r>
      <w:r>
        <w:rPr>
          <w:rFonts w:hint="eastAsia" w:ascii="仿宋_GB2312" w:hAnsi="楷体" w:eastAsia="仿宋_GB2312"/>
          <w:color w:val="auto"/>
          <w:kern w:val="0"/>
          <w:sz w:val="32"/>
          <w:szCs w:val="32"/>
          <w:u w:val="none"/>
          <w:lang w:val="en-US" w:eastAsia="zh-CN"/>
        </w:rPr>
        <w:t>7.15</w:t>
      </w:r>
      <w:r>
        <w:rPr>
          <w:rFonts w:hint="eastAsia" w:ascii="仿宋_GB2312" w:hAnsi="楷体" w:eastAsia="仿宋_GB2312"/>
          <w:color w:val="auto"/>
          <w:kern w:val="0"/>
          <w:sz w:val="32"/>
          <w:szCs w:val="32"/>
        </w:rPr>
        <w:t>万元，减少</w:t>
      </w:r>
      <w:r>
        <w:rPr>
          <w:rFonts w:hint="eastAsia" w:ascii="仿宋_GB2312" w:hAnsi="楷体" w:eastAsia="仿宋_GB2312"/>
          <w:color w:val="auto"/>
          <w:kern w:val="0"/>
          <w:sz w:val="32"/>
          <w:szCs w:val="32"/>
          <w:lang w:val="en-US" w:eastAsia="zh-CN"/>
        </w:rPr>
        <w:t>53.89</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125.52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125.52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125.52</w:t>
      </w:r>
      <w:r>
        <w:rPr>
          <w:rFonts w:hint="eastAsia" w:ascii="仿宋_GB2312" w:hAnsi="楷体" w:eastAsia="仿宋_GB2312"/>
          <w:kern w:val="0"/>
          <w:sz w:val="32"/>
          <w:szCs w:val="32"/>
        </w:rPr>
        <w:t>万元，与上年相比减少</w:t>
      </w:r>
      <w:r>
        <w:rPr>
          <w:rFonts w:hint="eastAsia" w:ascii="仿宋_GB2312" w:hAnsi="楷体" w:eastAsia="仿宋_GB2312"/>
          <w:color w:val="auto"/>
          <w:kern w:val="0"/>
          <w:sz w:val="32"/>
          <w:szCs w:val="32"/>
          <w:u w:val="none"/>
          <w:lang w:val="en-US" w:eastAsia="zh-CN"/>
        </w:rPr>
        <w:t>7.15</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53.89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2021年调出1人，退休1人</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none"/>
          <w:lang w:val="en-US" w:eastAsia="zh-CN"/>
        </w:rPr>
        <w:t>125.52</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color w:val="auto"/>
          <w:kern w:val="0"/>
          <w:sz w:val="32"/>
          <w:szCs w:val="32"/>
          <w:lang w:eastAsia="zh-CN"/>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lang w:val="en-US" w:eastAsia="zh-CN"/>
        </w:rPr>
        <w:t>.</w:t>
      </w:r>
      <w:r>
        <w:rPr>
          <w:rFonts w:hint="eastAsia" w:ascii="仿宋" w:hAnsi="仿宋" w:eastAsia="仿宋" w:cs="仿宋"/>
          <w:color w:val="auto"/>
          <w:sz w:val="32"/>
          <w:szCs w:val="32"/>
        </w:rPr>
        <w:t>社会保障和就业支出</w:t>
      </w:r>
      <w:r>
        <w:rPr>
          <w:rFonts w:hint="eastAsia" w:ascii="仿宋" w:hAnsi="仿宋" w:eastAsia="仿宋" w:cs="仿宋"/>
          <w:color w:val="auto"/>
          <w:sz w:val="32"/>
          <w:szCs w:val="32"/>
          <w:lang w:val="en-US" w:eastAsia="zh-CN"/>
        </w:rPr>
        <w:t>14.41万元</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主要</w:t>
      </w:r>
      <w:r>
        <w:rPr>
          <w:rFonts w:hint="eastAsia" w:ascii="仿宋" w:hAnsi="仿宋" w:eastAsia="仿宋" w:cs="仿宋"/>
          <w:color w:val="auto"/>
          <w:sz w:val="32"/>
          <w:szCs w:val="32"/>
        </w:rPr>
        <w:t>用于单位养老</w:t>
      </w:r>
      <w:r>
        <w:rPr>
          <w:rFonts w:hint="eastAsia" w:ascii="仿宋" w:hAnsi="仿宋" w:eastAsia="仿宋" w:cs="仿宋"/>
          <w:color w:val="auto"/>
          <w:sz w:val="32"/>
          <w:szCs w:val="32"/>
          <w:lang w:eastAsia="zh-CN"/>
        </w:rPr>
        <w:t>、失业、工伤</w:t>
      </w:r>
      <w:r>
        <w:rPr>
          <w:rFonts w:hint="eastAsia" w:ascii="仿宋" w:hAnsi="仿宋" w:eastAsia="仿宋" w:cs="仿宋"/>
          <w:color w:val="auto"/>
          <w:sz w:val="32"/>
          <w:szCs w:val="32"/>
        </w:rPr>
        <w:t>保险</w:t>
      </w:r>
      <w:r>
        <w:rPr>
          <w:rFonts w:hint="eastAsia" w:ascii="仿宋" w:hAnsi="仿宋" w:eastAsia="仿宋" w:cs="仿宋"/>
          <w:color w:val="auto"/>
          <w:sz w:val="32"/>
          <w:szCs w:val="32"/>
          <w:lang w:eastAsia="zh-CN"/>
        </w:rPr>
        <w:t>等支出</w:t>
      </w:r>
      <w:r>
        <w:rPr>
          <w:rFonts w:hint="eastAsia" w:ascii="仿宋" w:hAnsi="仿宋" w:eastAsia="仿宋" w:cs="仿宋"/>
          <w:color w:val="auto"/>
          <w:sz w:val="32"/>
          <w:szCs w:val="32"/>
        </w:rPr>
        <w:t>。</w:t>
      </w:r>
      <w:r>
        <w:rPr>
          <w:rFonts w:hint="eastAsia" w:ascii="仿宋_GB2312" w:hAnsi="楷体" w:eastAsia="仿宋_GB2312"/>
          <w:color w:val="auto"/>
          <w:kern w:val="0"/>
          <w:sz w:val="32"/>
          <w:szCs w:val="32"/>
        </w:rPr>
        <w:t>与上年相比</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lang w:val="en-US" w:eastAsia="zh-CN"/>
        </w:rPr>
        <w:t>1.48</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lang w:val="en-US" w:eastAsia="zh-CN"/>
        </w:rPr>
        <w:t>11.45</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w:t>
      </w:r>
      <w:r>
        <w:rPr>
          <w:rFonts w:hint="eastAsia" w:ascii="仿宋_GB2312" w:hAnsi="楷体" w:eastAsia="仿宋_GB2312"/>
          <w:color w:val="auto"/>
          <w:kern w:val="0"/>
          <w:sz w:val="32"/>
          <w:szCs w:val="32"/>
          <w:lang w:eastAsia="zh-CN"/>
        </w:rPr>
        <w:t>是社保基数调整。</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4.85</w:t>
      </w:r>
      <w:r>
        <w:rPr>
          <w:rFonts w:hint="eastAsia" w:ascii="仿宋_GB2312" w:hAnsi="楷体" w:eastAsia="仿宋_GB2312"/>
          <w:kern w:val="0"/>
          <w:sz w:val="32"/>
          <w:szCs w:val="32"/>
        </w:rPr>
        <w:t>万元，</w:t>
      </w:r>
      <w:r>
        <w:rPr>
          <w:rFonts w:hint="eastAsia" w:ascii="仿宋" w:hAnsi="仿宋" w:eastAsia="仿宋" w:cs="仿宋"/>
          <w:sz w:val="32"/>
          <w:szCs w:val="32"/>
        </w:rPr>
        <w:t>用于单位对职工基本医疗保险、其他卫生健康的支出</w:t>
      </w:r>
      <w:r>
        <w:rPr>
          <w:rFonts w:hint="eastAsia" w:ascii="仿宋" w:hAnsi="仿宋" w:eastAsia="仿宋" w:cs="仿宋"/>
          <w:sz w:val="32"/>
          <w:szCs w:val="32"/>
          <w:lang w:eastAsia="zh-CN"/>
        </w:rPr>
        <w:t>，</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0.33</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6.37</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color w:val="auto"/>
          <w:kern w:val="0"/>
          <w:sz w:val="32"/>
          <w:szCs w:val="32"/>
        </w:rPr>
        <w:t>主要原因</w:t>
      </w:r>
      <w:r>
        <w:rPr>
          <w:rFonts w:hint="eastAsia" w:ascii="仿宋_GB2312" w:hAnsi="楷体" w:eastAsia="仿宋_GB2312"/>
          <w:color w:val="auto"/>
          <w:kern w:val="0"/>
          <w:sz w:val="32"/>
          <w:szCs w:val="32"/>
          <w:lang w:eastAsia="zh-CN"/>
        </w:rPr>
        <w:t>人员调整。</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6.</w:t>
      </w:r>
      <w:r>
        <w:rPr>
          <w:rFonts w:hint="eastAsia" w:ascii="仿宋_GB2312" w:hAnsi="楷体" w:eastAsia="仿宋_GB2312"/>
          <w:kern w:val="0"/>
          <w:sz w:val="32"/>
          <w:szCs w:val="32"/>
          <w:lang w:val="en-US" w:eastAsia="zh-CN"/>
        </w:rPr>
        <w:t>03</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主要用于单位人员住房公积金支出，</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0.46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7.09</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主要原因</w:t>
      </w:r>
      <w:r>
        <w:rPr>
          <w:rFonts w:hint="eastAsia" w:ascii="仿宋_GB2312" w:hAnsi="楷体" w:eastAsia="仿宋_GB2312"/>
          <w:color w:val="auto"/>
          <w:kern w:val="0"/>
          <w:sz w:val="32"/>
          <w:szCs w:val="32"/>
          <w:lang w:eastAsia="zh-CN"/>
        </w:rPr>
        <w:t>人员调整</w:t>
      </w:r>
    </w:p>
    <w:p>
      <w:pPr>
        <w:widowControl/>
        <w:spacing w:line="560" w:lineRule="exact"/>
        <w:ind w:firstLine="640"/>
        <w:rPr>
          <w:rFonts w:ascii="仿宋_GB2312" w:hAnsi="楷体" w:eastAsia="仿宋_GB2312"/>
          <w:color w:val="auto"/>
          <w:kern w:val="0"/>
          <w:sz w:val="32"/>
          <w:szCs w:val="32"/>
        </w:rPr>
      </w:pPr>
      <w:r>
        <w:rPr>
          <w:rFonts w:hint="eastAsia" w:ascii="仿宋_GB2312" w:hAnsi="楷体" w:eastAsia="仿宋_GB2312"/>
          <w:color w:val="auto"/>
          <w:kern w:val="0"/>
          <w:sz w:val="32"/>
          <w:szCs w:val="32"/>
          <w:lang w:val="en-US" w:eastAsia="zh-CN"/>
        </w:rPr>
        <w:t>4</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灾害防治及应急管理支出</w:t>
      </w:r>
      <w:r>
        <w:rPr>
          <w:rFonts w:hint="eastAsia" w:ascii="仿宋_GB2312" w:hAnsi="楷体" w:eastAsia="仿宋_GB2312"/>
          <w:color w:val="auto"/>
          <w:kern w:val="0"/>
          <w:sz w:val="32"/>
          <w:szCs w:val="32"/>
          <w:u w:val="none"/>
          <w:lang w:val="en-US" w:eastAsia="zh-CN"/>
        </w:rPr>
        <w:t>100.24</w:t>
      </w:r>
      <w:r>
        <w:rPr>
          <w:rFonts w:hint="eastAsia" w:ascii="仿宋_GB2312" w:hAnsi="楷体" w:eastAsia="仿宋_GB2312"/>
          <w:color w:val="auto"/>
          <w:kern w:val="0"/>
          <w:sz w:val="32"/>
          <w:szCs w:val="32"/>
        </w:rPr>
        <w:t>万元，主要用于</w:t>
      </w:r>
      <w:r>
        <w:rPr>
          <w:rFonts w:hint="eastAsia" w:ascii="仿宋_GB2312" w:hAnsi="楷体" w:eastAsia="仿宋_GB2312"/>
          <w:color w:val="auto"/>
          <w:kern w:val="0"/>
          <w:sz w:val="32"/>
          <w:szCs w:val="32"/>
          <w:lang w:eastAsia="zh-CN"/>
        </w:rPr>
        <w:t>人员经费</w:t>
      </w:r>
      <w:r>
        <w:rPr>
          <w:rFonts w:hint="eastAsia" w:ascii="仿宋_GB2312" w:hAnsi="楷体" w:eastAsia="仿宋_GB2312"/>
          <w:color w:val="auto"/>
          <w:kern w:val="0"/>
          <w:sz w:val="32"/>
          <w:szCs w:val="32"/>
        </w:rPr>
        <w:t>。与上年相比减少</w:t>
      </w:r>
      <w:r>
        <w:rPr>
          <w:rFonts w:hint="eastAsia" w:ascii="仿宋_GB2312" w:hAnsi="楷体" w:eastAsia="仿宋_GB2312"/>
          <w:color w:val="auto"/>
          <w:kern w:val="0"/>
          <w:sz w:val="32"/>
          <w:szCs w:val="32"/>
          <w:u w:val="none"/>
          <w:lang w:val="en-US" w:eastAsia="zh-CN"/>
        </w:rPr>
        <w:t>7.83</w:t>
      </w:r>
      <w:r>
        <w:rPr>
          <w:rFonts w:hint="eastAsia" w:ascii="仿宋_GB2312" w:hAnsi="楷体" w:eastAsia="仿宋_GB2312"/>
          <w:color w:val="auto"/>
          <w:kern w:val="0"/>
          <w:sz w:val="32"/>
          <w:szCs w:val="32"/>
        </w:rPr>
        <w:t>万元，减少</w:t>
      </w:r>
      <w:r>
        <w:rPr>
          <w:rFonts w:hint="eastAsia" w:ascii="仿宋_GB2312" w:hAnsi="楷体" w:eastAsia="仿宋_GB2312"/>
          <w:color w:val="auto"/>
          <w:kern w:val="0"/>
          <w:sz w:val="32"/>
          <w:szCs w:val="32"/>
          <w:u w:val="none"/>
          <w:lang w:val="en-US" w:eastAsia="zh-CN"/>
        </w:rPr>
        <w:t>7.25</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2021年调出1人，退休1人</w:t>
      </w:r>
      <w:r>
        <w:rPr>
          <w:rFonts w:hint="eastAsia" w:ascii="仿宋_GB2312" w:hAnsi="楷体" w:eastAsia="仿宋_GB2312"/>
          <w:color w:val="auto"/>
          <w:kern w:val="0"/>
          <w:sz w:val="32"/>
          <w:szCs w:val="32"/>
        </w:rPr>
        <w:t>。</w:t>
      </w:r>
    </w:p>
    <w:p>
      <w:pPr>
        <w:widowControl/>
        <w:spacing w:line="560" w:lineRule="exact"/>
        <w:ind w:firstLine="640"/>
        <w:rPr>
          <w:rFonts w:hint="eastAsia" w:ascii="仿宋_GB2312" w:hAnsi="楷体" w:eastAsia="仿宋_GB2312"/>
          <w:color w:val="auto"/>
          <w:kern w:val="0"/>
          <w:sz w:val="32"/>
          <w:szCs w:val="32"/>
        </w:rPr>
      </w:pPr>
    </w:p>
    <w:p>
      <w:pPr>
        <w:widowControl/>
        <w:spacing w:line="560" w:lineRule="exact"/>
        <w:ind w:firstLine="640"/>
        <w:rPr>
          <w:rFonts w:hint="eastAsia" w:ascii="仿宋_GB2312" w:hAnsi="楷体" w:eastAsia="仿宋_GB2312"/>
          <w:kern w:val="0"/>
          <w:sz w:val="32"/>
          <w:szCs w:val="32"/>
        </w:rPr>
      </w:pP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lang w:val="en-US" w:eastAsia="zh-CN"/>
        </w:rPr>
        <w:t>5</w:t>
      </w:r>
      <w:r>
        <w:rPr>
          <w:rFonts w:hint="eastAsia" w:ascii="仿宋_GB2312" w:hAnsi="楷体" w:eastAsia="仿宋_GB2312"/>
          <w:color w:val="auto"/>
          <w:kern w:val="0"/>
          <w:sz w:val="32"/>
          <w:szCs w:val="32"/>
        </w:rPr>
        <w:t>．基本支出预算数为</w:t>
      </w:r>
      <w:r>
        <w:rPr>
          <w:rFonts w:hint="eastAsia" w:ascii="仿宋_GB2312" w:hAnsi="楷体" w:eastAsia="仿宋_GB2312"/>
          <w:color w:val="auto"/>
          <w:kern w:val="0"/>
          <w:sz w:val="32"/>
          <w:szCs w:val="32"/>
          <w:u w:val="none"/>
          <w:lang w:val="en-US" w:eastAsia="zh-CN"/>
        </w:rPr>
        <w:t>103.43</w:t>
      </w:r>
      <w:r>
        <w:rPr>
          <w:rFonts w:hint="eastAsia" w:ascii="仿宋_GB2312" w:hAnsi="楷体" w:eastAsia="仿宋_GB2312"/>
          <w:color w:val="auto"/>
          <w:kern w:val="0"/>
          <w:sz w:val="32"/>
          <w:szCs w:val="32"/>
        </w:rPr>
        <w:t>万元。与上年相比减少</w:t>
      </w:r>
      <w:r>
        <w:rPr>
          <w:rFonts w:hint="eastAsia" w:ascii="仿宋_GB2312" w:hAnsi="楷体" w:eastAsia="仿宋_GB2312"/>
          <w:color w:val="auto"/>
          <w:kern w:val="0"/>
          <w:sz w:val="32"/>
          <w:szCs w:val="32"/>
          <w:lang w:val="en-US" w:eastAsia="zh-CN"/>
        </w:rPr>
        <w:t>7.45</w:t>
      </w:r>
      <w:r>
        <w:rPr>
          <w:rFonts w:hint="eastAsia" w:ascii="仿宋_GB2312" w:hAnsi="楷体" w:eastAsia="仿宋_GB2312"/>
          <w:color w:val="auto"/>
          <w:kern w:val="0"/>
          <w:sz w:val="32"/>
          <w:szCs w:val="32"/>
          <w:u w:val="none"/>
          <w:lang w:val="en-US" w:eastAsia="zh-CN"/>
        </w:rPr>
        <w:t>万</w:t>
      </w:r>
      <w:r>
        <w:rPr>
          <w:rFonts w:hint="eastAsia" w:ascii="仿宋_GB2312" w:hAnsi="楷体" w:eastAsia="仿宋_GB2312"/>
          <w:color w:val="auto"/>
          <w:kern w:val="0"/>
          <w:sz w:val="32"/>
          <w:szCs w:val="32"/>
          <w:u w:val="none"/>
        </w:rPr>
        <w:t>元，减少</w:t>
      </w:r>
      <w:r>
        <w:rPr>
          <w:rFonts w:hint="eastAsia" w:ascii="仿宋_GB2312" w:hAnsi="楷体" w:eastAsia="仿宋_GB2312"/>
          <w:color w:val="auto"/>
          <w:kern w:val="0"/>
          <w:sz w:val="32"/>
          <w:szCs w:val="32"/>
          <w:u w:val="none"/>
          <w:lang w:val="en-US" w:eastAsia="zh-CN"/>
        </w:rPr>
        <w:t>67.19</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2021年调出1人，退休1人</w:t>
      </w:r>
      <w:r>
        <w:rPr>
          <w:rFonts w:hint="eastAsia" w:ascii="仿宋_GB2312" w:hAnsi="楷体" w:eastAsia="仿宋_GB2312"/>
          <w:color w:val="auto"/>
          <w:kern w:val="0"/>
          <w:sz w:val="32"/>
          <w:szCs w:val="32"/>
        </w:rPr>
        <w:t>。项目支出预算数为</w:t>
      </w:r>
      <w:r>
        <w:rPr>
          <w:rFonts w:hint="eastAsia" w:ascii="仿宋_GB2312" w:hAnsi="楷体" w:eastAsia="仿宋_GB2312"/>
          <w:color w:val="auto"/>
          <w:kern w:val="0"/>
          <w:sz w:val="32"/>
          <w:szCs w:val="32"/>
          <w:u w:val="none"/>
          <w:lang w:val="en-US" w:eastAsia="zh-CN"/>
        </w:rPr>
        <w:t>22.1</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lang w:val="en-US" w:eastAsia="zh-CN"/>
        </w:rPr>
        <w:t>0.31</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lang w:val="en-US" w:eastAsia="zh-CN"/>
        </w:rPr>
        <w:t>1.42</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2022年退役人员工资调整</w:t>
      </w:r>
      <w:r>
        <w:rPr>
          <w:rFonts w:hint="eastAsia" w:ascii="仿宋_GB2312" w:hAnsi="楷体" w:eastAsia="仿宋_GB2312"/>
          <w:color w:val="auto"/>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320" w:firstLineChars="100"/>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襄汾县防震减灾中心</w:t>
      </w:r>
      <w:r>
        <w:rPr>
          <w:rFonts w:hint="eastAsia" w:ascii="仿宋_GB2312" w:hAnsi="楷体" w:eastAsia="仿宋_GB2312"/>
          <w:kern w:val="0"/>
          <w:sz w:val="32"/>
          <w:szCs w:val="32"/>
        </w:rPr>
        <w:t>本年收入预算合计</w:t>
      </w:r>
      <w:r>
        <w:rPr>
          <w:rFonts w:hint="eastAsia" w:ascii="仿宋_GB2312" w:hAnsi="楷体" w:eastAsia="仿宋_GB2312"/>
          <w:b w:val="0"/>
          <w:bCs w:val="0"/>
          <w:color w:val="auto"/>
          <w:kern w:val="0"/>
          <w:sz w:val="32"/>
          <w:szCs w:val="32"/>
          <w:u w:val="none"/>
          <w:lang w:val="en-US" w:eastAsia="zh-CN"/>
        </w:rPr>
        <w:t>125.52</w:t>
      </w:r>
      <w:r>
        <w:rPr>
          <w:rFonts w:hint="eastAsia" w:ascii="仿宋_GB2312" w:hAnsi="楷体" w:eastAsia="仿宋_GB2312"/>
          <w:kern w:val="0"/>
          <w:sz w:val="32"/>
          <w:szCs w:val="32"/>
        </w:rPr>
        <w:t>万元，其中：一般公共预算收入</w:t>
      </w:r>
      <w:r>
        <w:rPr>
          <w:rFonts w:hint="eastAsia" w:ascii="仿宋_GB2312" w:hAnsi="楷体" w:eastAsia="仿宋_GB2312"/>
          <w:b w:val="0"/>
          <w:bCs w:val="0"/>
          <w:color w:val="auto"/>
          <w:kern w:val="0"/>
          <w:sz w:val="32"/>
          <w:szCs w:val="32"/>
          <w:u w:val="none"/>
          <w:lang w:val="en-US" w:eastAsia="zh-CN"/>
        </w:rPr>
        <w:t>125.52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襄汾县防震减灾中心</w:t>
      </w:r>
      <w:r>
        <w:rPr>
          <w:rFonts w:hint="eastAsia" w:ascii="仿宋_GB2312" w:hAnsi="楷体" w:eastAsia="仿宋_GB2312"/>
          <w:kern w:val="0"/>
          <w:sz w:val="32"/>
          <w:szCs w:val="32"/>
        </w:rPr>
        <w:t>本年支出预算合计</w:t>
      </w:r>
      <w:r>
        <w:rPr>
          <w:rFonts w:hint="eastAsia" w:ascii="仿宋_GB2312" w:hAnsi="楷体" w:eastAsia="仿宋_GB2312"/>
          <w:b w:val="0"/>
          <w:bCs w:val="0"/>
          <w:color w:val="auto"/>
          <w:kern w:val="0"/>
          <w:sz w:val="32"/>
          <w:szCs w:val="32"/>
          <w:u w:val="none"/>
          <w:lang w:val="en-US" w:eastAsia="zh-CN"/>
        </w:rPr>
        <w:t>125.52</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103.43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82.39</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22.1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17.61</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color w:val="auto"/>
          <w:kern w:val="0"/>
          <w:sz w:val="32"/>
          <w:szCs w:val="32"/>
        </w:rPr>
      </w:pPr>
      <w:r>
        <w:rPr>
          <w:rFonts w:hint="eastAsia" w:ascii="仿宋_GB2312" w:hAnsi="楷体" w:eastAsia="仿宋_GB2312" w:cstheme="minorBidi"/>
          <w:color w:val="auto"/>
          <w:kern w:val="0"/>
          <w:sz w:val="32"/>
          <w:szCs w:val="32"/>
        </w:rPr>
        <w:t>四、财政拨款收支预算总体情况说明</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u w:val="none"/>
          <w:lang w:eastAsia="zh-CN"/>
        </w:rPr>
        <w:t>襄汾县防震减灾中心</w:t>
      </w:r>
      <w:r>
        <w:rPr>
          <w:rFonts w:hint="eastAsia" w:ascii="仿宋_GB2312" w:hAnsi="楷体" w:eastAsia="仿宋_GB2312"/>
          <w:color w:val="auto"/>
          <w:kern w:val="0"/>
          <w:sz w:val="32"/>
          <w:szCs w:val="32"/>
          <w:lang w:eastAsia="zh-CN"/>
        </w:rPr>
        <w:t>2022</w:t>
      </w:r>
      <w:r>
        <w:rPr>
          <w:rFonts w:hint="eastAsia" w:ascii="仿宋_GB2312" w:hAnsi="楷体" w:eastAsia="仿宋_GB2312"/>
          <w:color w:val="auto"/>
          <w:kern w:val="0"/>
          <w:sz w:val="32"/>
          <w:szCs w:val="32"/>
        </w:rPr>
        <w:t>年度收入</w:t>
      </w:r>
      <w:r>
        <w:rPr>
          <w:rFonts w:hint="eastAsia" w:ascii="仿宋_GB2312" w:hAnsi="楷体" w:eastAsia="仿宋_GB2312"/>
          <w:color w:val="auto"/>
          <w:kern w:val="0"/>
          <w:sz w:val="32"/>
          <w:szCs w:val="32"/>
          <w:lang w:val="en-US" w:eastAsia="zh-CN"/>
        </w:rPr>
        <w:t>125.52万元</w:t>
      </w:r>
      <w:r>
        <w:rPr>
          <w:rFonts w:hint="eastAsia" w:ascii="仿宋_GB2312" w:hAnsi="楷体" w:eastAsia="仿宋_GB2312"/>
          <w:color w:val="auto"/>
          <w:kern w:val="0"/>
          <w:sz w:val="32"/>
          <w:szCs w:val="32"/>
        </w:rPr>
        <w:t>、与上年相比</w:t>
      </w:r>
      <w:r>
        <w:rPr>
          <w:rFonts w:hint="eastAsia" w:ascii="仿宋_GB2312" w:hAnsi="楷体" w:eastAsia="仿宋_GB2312"/>
          <w:color w:val="auto"/>
          <w:kern w:val="0"/>
          <w:sz w:val="32"/>
          <w:szCs w:val="32"/>
          <w:lang w:eastAsia="zh-CN"/>
        </w:rPr>
        <w:t>收入总计减少</w:t>
      </w:r>
      <w:r>
        <w:rPr>
          <w:rFonts w:hint="eastAsia" w:ascii="仿宋_GB2312" w:hAnsi="楷体" w:eastAsia="仿宋_GB2312"/>
          <w:color w:val="auto"/>
          <w:kern w:val="0"/>
          <w:sz w:val="32"/>
          <w:szCs w:val="32"/>
          <w:lang w:val="en-US" w:eastAsia="zh-CN"/>
        </w:rPr>
        <w:t>7.15万元，</w:t>
      </w:r>
      <w:r>
        <w:rPr>
          <w:rFonts w:hint="eastAsia" w:ascii="仿宋_GB2312" w:hAnsi="楷体" w:eastAsia="仿宋_GB2312"/>
          <w:color w:val="auto"/>
          <w:kern w:val="0"/>
          <w:sz w:val="32"/>
          <w:szCs w:val="32"/>
        </w:rPr>
        <w:t>减少</w:t>
      </w:r>
      <w:r>
        <w:rPr>
          <w:rFonts w:hint="eastAsia" w:ascii="仿宋_GB2312" w:hAnsi="楷体" w:eastAsia="仿宋_GB2312"/>
          <w:color w:val="auto"/>
          <w:kern w:val="0"/>
          <w:sz w:val="32"/>
          <w:szCs w:val="32"/>
          <w:lang w:val="en-US" w:eastAsia="zh-CN"/>
        </w:rPr>
        <w:t>53.89</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。支出预算总计</w:t>
      </w:r>
      <w:r>
        <w:rPr>
          <w:rFonts w:hint="eastAsia" w:ascii="仿宋_GB2312" w:hAnsi="楷体" w:eastAsia="仿宋_GB2312"/>
          <w:color w:val="auto"/>
          <w:kern w:val="0"/>
          <w:sz w:val="32"/>
          <w:szCs w:val="32"/>
          <w:u w:val="none"/>
          <w:lang w:val="en-US" w:eastAsia="zh-CN"/>
        </w:rPr>
        <w:t>125.52</w:t>
      </w:r>
      <w:r>
        <w:rPr>
          <w:rFonts w:hint="eastAsia" w:ascii="仿宋_GB2312" w:hAnsi="楷体" w:eastAsia="仿宋_GB2312"/>
          <w:color w:val="auto"/>
          <w:kern w:val="0"/>
          <w:sz w:val="32"/>
          <w:szCs w:val="32"/>
        </w:rPr>
        <w:t>万元，与上年相比支</w:t>
      </w:r>
      <w:r>
        <w:rPr>
          <w:rFonts w:hint="eastAsia" w:ascii="仿宋_GB2312" w:hAnsi="楷体" w:eastAsia="仿宋_GB2312"/>
          <w:color w:val="auto"/>
          <w:kern w:val="0"/>
          <w:sz w:val="32"/>
          <w:szCs w:val="32"/>
          <w:lang w:eastAsia="zh-CN"/>
        </w:rPr>
        <w:t>出</w:t>
      </w:r>
      <w:r>
        <w:rPr>
          <w:rFonts w:hint="eastAsia" w:ascii="仿宋_GB2312" w:hAnsi="楷体" w:eastAsia="仿宋_GB2312"/>
          <w:color w:val="auto"/>
          <w:kern w:val="0"/>
          <w:sz w:val="32"/>
          <w:szCs w:val="32"/>
        </w:rPr>
        <w:t>预算总计减少</w:t>
      </w:r>
      <w:r>
        <w:rPr>
          <w:rFonts w:hint="eastAsia" w:ascii="仿宋_GB2312" w:hAnsi="楷体" w:eastAsia="仿宋_GB2312"/>
          <w:color w:val="auto"/>
          <w:kern w:val="0"/>
          <w:sz w:val="32"/>
          <w:szCs w:val="32"/>
          <w:u w:val="none"/>
          <w:lang w:val="en-US" w:eastAsia="zh-CN"/>
        </w:rPr>
        <w:t>7.15</w:t>
      </w:r>
      <w:r>
        <w:rPr>
          <w:rFonts w:hint="eastAsia" w:ascii="仿宋_GB2312" w:hAnsi="楷体" w:eastAsia="仿宋_GB2312"/>
          <w:color w:val="auto"/>
          <w:kern w:val="0"/>
          <w:sz w:val="32"/>
          <w:szCs w:val="32"/>
        </w:rPr>
        <w:t>万元，减少</w:t>
      </w:r>
      <w:r>
        <w:rPr>
          <w:rFonts w:hint="eastAsia" w:ascii="仿宋_GB2312" w:hAnsi="楷体" w:eastAsia="仿宋_GB2312"/>
          <w:color w:val="auto"/>
          <w:kern w:val="0"/>
          <w:sz w:val="32"/>
          <w:szCs w:val="32"/>
          <w:lang w:val="en-US" w:eastAsia="zh-CN"/>
        </w:rPr>
        <w:t>53.89</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2021年调出1人，退休1人</w:t>
      </w:r>
      <w:r>
        <w:rPr>
          <w:rFonts w:hint="eastAsia" w:ascii="仿宋_GB2312" w:hAnsi="楷体" w:eastAsia="仿宋_GB2312"/>
          <w:color w:val="auto"/>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襄汾县防震减灾中心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125.52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7.15</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53.89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2021年调出1人，退休1人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襄汾县防震减灾中心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103.43</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color w:val="auto"/>
          <w:kern w:val="0"/>
          <w:sz w:val="32"/>
          <w:szCs w:val="32"/>
          <w:u w:val="none"/>
          <w:lang w:val="en-US" w:eastAsia="zh-CN"/>
        </w:rPr>
        <w:t>96.65</w:t>
      </w:r>
      <w:r>
        <w:rPr>
          <w:rFonts w:hint="eastAsia" w:ascii="仿宋_GB2312" w:hAnsi="楷体" w:eastAsia="仿宋_GB2312"/>
          <w:kern w:val="0"/>
          <w:sz w:val="32"/>
          <w:szCs w:val="32"/>
        </w:rPr>
        <w:t>万元。主要包括：基本工资、津贴补贴、奖金、社会保障缴费、绩效工资、其他工资福利支出、离休费、退休费、抚恤金、生活补助、医疗费、奖励金、住房公积金、其他对个人和家庭的补助支出。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6.78</w:t>
      </w:r>
      <w:r>
        <w:rPr>
          <w:rFonts w:hint="eastAsia" w:ascii="仿宋_GB2312" w:hAnsi="楷体" w:eastAsia="仿宋_GB2312"/>
          <w:kern w:val="0"/>
          <w:sz w:val="32"/>
          <w:szCs w:val="32"/>
        </w:rPr>
        <w:t>万元。主要包括：办公费、印刷费、电费、邮电费、差旅费、工会经费、其他交通费用、其他商品和服务支出、办公设备购置。</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u w:val="none"/>
          <w:lang w:eastAsia="zh-CN"/>
        </w:rPr>
        <w:t>襄汾县防震减灾中心</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 xml:space="preserve">  </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单位无政府性基金预算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襄汾县防震减灾中心2022</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w:t>
      </w:r>
      <w:r>
        <w:rPr>
          <w:rFonts w:hint="eastAsia" w:ascii="仿宋_GB2312" w:hAnsi="楷体" w:eastAsia="仿宋_GB2312"/>
          <w:kern w:val="0"/>
          <w:sz w:val="32"/>
          <w:szCs w:val="32"/>
        </w:rPr>
        <w:t>“三公”经费</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单位无“机关运行”</w:t>
      </w:r>
      <w:r>
        <w:rPr>
          <w:rFonts w:hint="eastAsia" w:ascii="仿宋_GB2312" w:hAnsi="楷体" w:eastAsia="仿宋_GB2312"/>
          <w:kern w:val="0"/>
          <w:sz w:val="32"/>
          <w:szCs w:val="32"/>
        </w:rPr>
        <w:t>经费</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color w:val="auto"/>
          <w:kern w:val="0"/>
          <w:sz w:val="32"/>
          <w:szCs w:val="32"/>
          <w:lang w:val="en-US" w:eastAsia="zh-CN"/>
        </w:rPr>
        <w:t>7.3</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2.6</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4.7</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22.1</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22.1</w:t>
      </w:r>
      <w:r>
        <w:rPr>
          <w:rFonts w:hint="eastAsia" w:ascii="仿宋_GB2312" w:hAnsi="楷体" w:eastAsia="仿宋_GB2312"/>
          <w:kern w:val="0"/>
          <w:sz w:val="32"/>
          <w:szCs w:val="32"/>
        </w:rPr>
        <w:t>万元。</w:t>
      </w:r>
    </w:p>
    <w:p>
      <w:pPr>
        <w:widowControl/>
        <w:numPr>
          <w:ilvl w:val="0"/>
          <w:numId w:val="2"/>
        </w:numPr>
        <w:spacing w:line="560" w:lineRule="exact"/>
        <w:ind w:left="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left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本</w:t>
      </w:r>
      <w:r>
        <w:rPr>
          <w:rFonts w:hint="eastAsia" w:ascii="仿宋_GB2312" w:hAnsi="仿宋" w:eastAsia="仿宋_GB2312"/>
          <w:kern w:val="0"/>
          <w:sz w:val="32"/>
          <w:szCs w:val="32"/>
          <w:lang w:val="en-US" w:eastAsia="zh-CN"/>
        </w:rPr>
        <w:t>单位</w:t>
      </w:r>
      <w:r>
        <w:rPr>
          <w:rFonts w:hint="eastAsia" w:ascii="仿宋_GB2312" w:hAnsi="仿宋"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本单位未使用专项债劵。</w:t>
      </w:r>
    </w:p>
    <w:p>
      <w:pPr>
        <w:widowControl/>
        <w:numPr>
          <w:ilvl w:val="0"/>
          <w:numId w:val="3"/>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ind w:firstLine="640" w:firstLineChars="200"/>
        <w:rPr>
          <w:rFonts w:hint="eastAsia" w:ascii="黑体" w:hAnsi="Times New Roman" w:eastAsia="黑体"/>
          <w:kern w:val="0"/>
          <w:sz w:val="32"/>
          <w:szCs w:val="32"/>
        </w:rPr>
      </w:pPr>
      <w:r>
        <w:rPr>
          <w:rFonts w:hint="eastAsia" w:ascii="仿宋_GB2312" w:hAnsi="仿宋" w:eastAsia="仿宋_GB2312"/>
          <w:kern w:val="0"/>
          <w:sz w:val="32"/>
          <w:szCs w:val="32"/>
          <w:lang w:val="en-US" w:eastAsia="zh-CN"/>
        </w:rPr>
        <w:t>本单位无其他事项。</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4BD8B2FA"/>
    <w:multiLevelType w:val="singleLevel"/>
    <w:tmpl w:val="4BD8B2FA"/>
    <w:lvl w:ilvl="0" w:tentative="0">
      <w:start w:val="2"/>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C50"/>
    <w:rsid w:val="00314382"/>
    <w:rsid w:val="00EF1C6F"/>
    <w:rsid w:val="01607A86"/>
    <w:rsid w:val="01A36CAD"/>
    <w:rsid w:val="01E2763B"/>
    <w:rsid w:val="02302B49"/>
    <w:rsid w:val="02496741"/>
    <w:rsid w:val="02F71C94"/>
    <w:rsid w:val="042A46B1"/>
    <w:rsid w:val="047252B7"/>
    <w:rsid w:val="04DE6C54"/>
    <w:rsid w:val="0595462A"/>
    <w:rsid w:val="05E51BD6"/>
    <w:rsid w:val="068F085F"/>
    <w:rsid w:val="06C82279"/>
    <w:rsid w:val="06DD6518"/>
    <w:rsid w:val="0814480E"/>
    <w:rsid w:val="081A4BED"/>
    <w:rsid w:val="09ED16A4"/>
    <w:rsid w:val="0A395A2B"/>
    <w:rsid w:val="0A781506"/>
    <w:rsid w:val="0A831A07"/>
    <w:rsid w:val="0B7A268C"/>
    <w:rsid w:val="0C550EC0"/>
    <w:rsid w:val="0ECF36D9"/>
    <w:rsid w:val="0F247CAD"/>
    <w:rsid w:val="0FAC09AE"/>
    <w:rsid w:val="10675503"/>
    <w:rsid w:val="10D40D57"/>
    <w:rsid w:val="10F95EB1"/>
    <w:rsid w:val="11603F53"/>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419F3"/>
    <w:rsid w:val="19EF64A7"/>
    <w:rsid w:val="1ACC23E4"/>
    <w:rsid w:val="1AEA4822"/>
    <w:rsid w:val="1D73313E"/>
    <w:rsid w:val="1DBF43F1"/>
    <w:rsid w:val="1E46404A"/>
    <w:rsid w:val="1E8B07BA"/>
    <w:rsid w:val="1ECD1525"/>
    <w:rsid w:val="1F0267B2"/>
    <w:rsid w:val="1F167368"/>
    <w:rsid w:val="1FD4737A"/>
    <w:rsid w:val="1FD5315A"/>
    <w:rsid w:val="20154AC9"/>
    <w:rsid w:val="2020185E"/>
    <w:rsid w:val="20953A56"/>
    <w:rsid w:val="20B465EE"/>
    <w:rsid w:val="21BE0F4D"/>
    <w:rsid w:val="22461B1D"/>
    <w:rsid w:val="229A0D7C"/>
    <w:rsid w:val="22CC6E73"/>
    <w:rsid w:val="22DF6CA5"/>
    <w:rsid w:val="23613E3F"/>
    <w:rsid w:val="23C10D48"/>
    <w:rsid w:val="23D52ACB"/>
    <w:rsid w:val="23F2500F"/>
    <w:rsid w:val="24D33A48"/>
    <w:rsid w:val="25830D86"/>
    <w:rsid w:val="26267710"/>
    <w:rsid w:val="26D73A12"/>
    <w:rsid w:val="26D867DF"/>
    <w:rsid w:val="275561AD"/>
    <w:rsid w:val="275B5730"/>
    <w:rsid w:val="27917A39"/>
    <w:rsid w:val="27E0266E"/>
    <w:rsid w:val="28B179A0"/>
    <w:rsid w:val="297F60F4"/>
    <w:rsid w:val="29C54245"/>
    <w:rsid w:val="29E745D6"/>
    <w:rsid w:val="2A0C4B1E"/>
    <w:rsid w:val="2A837434"/>
    <w:rsid w:val="2A997794"/>
    <w:rsid w:val="2AA80908"/>
    <w:rsid w:val="2B4A170A"/>
    <w:rsid w:val="2BBD535E"/>
    <w:rsid w:val="2C292926"/>
    <w:rsid w:val="2CB31589"/>
    <w:rsid w:val="2D12130B"/>
    <w:rsid w:val="2D282446"/>
    <w:rsid w:val="2DFF008B"/>
    <w:rsid w:val="2E08317D"/>
    <w:rsid w:val="2E243B68"/>
    <w:rsid w:val="2E4538B8"/>
    <w:rsid w:val="30B46CA3"/>
    <w:rsid w:val="3108141F"/>
    <w:rsid w:val="316856A6"/>
    <w:rsid w:val="31CA3EE9"/>
    <w:rsid w:val="32037208"/>
    <w:rsid w:val="32103D80"/>
    <w:rsid w:val="32673A99"/>
    <w:rsid w:val="32AE3E16"/>
    <w:rsid w:val="32CE2438"/>
    <w:rsid w:val="33B72E06"/>
    <w:rsid w:val="34732E94"/>
    <w:rsid w:val="34C942F5"/>
    <w:rsid w:val="34DE6D61"/>
    <w:rsid w:val="35780C7F"/>
    <w:rsid w:val="35A3072E"/>
    <w:rsid w:val="360343A0"/>
    <w:rsid w:val="36496DE4"/>
    <w:rsid w:val="36951834"/>
    <w:rsid w:val="36C36295"/>
    <w:rsid w:val="36C55314"/>
    <w:rsid w:val="36D55DA2"/>
    <w:rsid w:val="373B78F2"/>
    <w:rsid w:val="395C094E"/>
    <w:rsid w:val="397841A2"/>
    <w:rsid w:val="39B865D7"/>
    <w:rsid w:val="39C35268"/>
    <w:rsid w:val="39FA4604"/>
    <w:rsid w:val="39FD2297"/>
    <w:rsid w:val="3ABA5314"/>
    <w:rsid w:val="3B0872A5"/>
    <w:rsid w:val="3B2E1066"/>
    <w:rsid w:val="3C8B2D2A"/>
    <w:rsid w:val="3C9A09D4"/>
    <w:rsid w:val="3D036264"/>
    <w:rsid w:val="3D11386C"/>
    <w:rsid w:val="3D6345D6"/>
    <w:rsid w:val="3F0D5E27"/>
    <w:rsid w:val="3F510BAC"/>
    <w:rsid w:val="3F5B1A54"/>
    <w:rsid w:val="3FF763B7"/>
    <w:rsid w:val="4010633E"/>
    <w:rsid w:val="40153FD6"/>
    <w:rsid w:val="406929B7"/>
    <w:rsid w:val="409D0CC2"/>
    <w:rsid w:val="41274A97"/>
    <w:rsid w:val="413855EC"/>
    <w:rsid w:val="41F73716"/>
    <w:rsid w:val="42314B4F"/>
    <w:rsid w:val="42321896"/>
    <w:rsid w:val="42932653"/>
    <w:rsid w:val="42A87774"/>
    <w:rsid w:val="436B0382"/>
    <w:rsid w:val="44B8486B"/>
    <w:rsid w:val="45047640"/>
    <w:rsid w:val="457C07BD"/>
    <w:rsid w:val="458F359B"/>
    <w:rsid w:val="46463CE7"/>
    <w:rsid w:val="47EE3BCE"/>
    <w:rsid w:val="48882984"/>
    <w:rsid w:val="49FF0CFB"/>
    <w:rsid w:val="4B4E23B7"/>
    <w:rsid w:val="4B517DBB"/>
    <w:rsid w:val="4B82453C"/>
    <w:rsid w:val="4BEC58E9"/>
    <w:rsid w:val="4BF3571C"/>
    <w:rsid w:val="4CB45D69"/>
    <w:rsid w:val="4CCC2331"/>
    <w:rsid w:val="4D6954BF"/>
    <w:rsid w:val="4F114EE1"/>
    <w:rsid w:val="4F820379"/>
    <w:rsid w:val="50BC7B39"/>
    <w:rsid w:val="50C22019"/>
    <w:rsid w:val="527C3191"/>
    <w:rsid w:val="53DD6BA8"/>
    <w:rsid w:val="53F21A3F"/>
    <w:rsid w:val="54D83366"/>
    <w:rsid w:val="55B2288E"/>
    <w:rsid w:val="55CB4852"/>
    <w:rsid w:val="56325F7A"/>
    <w:rsid w:val="567B560F"/>
    <w:rsid w:val="568E078F"/>
    <w:rsid w:val="579E20B3"/>
    <w:rsid w:val="58430EF3"/>
    <w:rsid w:val="58AA41B4"/>
    <w:rsid w:val="59AC6411"/>
    <w:rsid w:val="5A22632C"/>
    <w:rsid w:val="5AB04B75"/>
    <w:rsid w:val="5B494D63"/>
    <w:rsid w:val="5B9F36DE"/>
    <w:rsid w:val="5BDF11E0"/>
    <w:rsid w:val="5C3C4DEB"/>
    <w:rsid w:val="5CA16867"/>
    <w:rsid w:val="5D15689C"/>
    <w:rsid w:val="5F074BD6"/>
    <w:rsid w:val="5F4C57DE"/>
    <w:rsid w:val="5F767359"/>
    <w:rsid w:val="5FA40E1A"/>
    <w:rsid w:val="5FAE6B95"/>
    <w:rsid w:val="60AD072C"/>
    <w:rsid w:val="60CF26FD"/>
    <w:rsid w:val="61A97E4C"/>
    <w:rsid w:val="62680D4E"/>
    <w:rsid w:val="63804CC1"/>
    <w:rsid w:val="63CA0901"/>
    <w:rsid w:val="63CF5F33"/>
    <w:rsid w:val="63DC3A6F"/>
    <w:rsid w:val="64162608"/>
    <w:rsid w:val="64535518"/>
    <w:rsid w:val="64A47E04"/>
    <w:rsid w:val="64AE406A"/>
    <w:rsid w:val="64E61465"/>
    <w:rsid w:val="65A60FF6"/>
    <w:rsid w:val="65BC152C"/>
    <w:rsid w:val="65C57872"/>
    <w:rsid w:val="667E2B1B"/>
    <w:rsid w:val="67573C0D"/>
    <w:rsid w:val="67606103"/>
    <w:rsid w:val="67EB6718"/>
    <w:rsid w:val="68C7713A"/>
    <w:rsid w:val="68F242AC"/>
    <w:rsid w:val="692D03DD"/>
    <w:rsid w:val="6A710359"/>
    <w:rsid w:val="6A8D2E20"/>
    <w:rsid w:val="6ABB4B62"/>
    <w:rsid w:val="6ABF49BB"/>
    <w:rsid w:val="6B73082E"/>
    <w:rsid w:val="6C7D2A13"/>
    <w:rsid w:val="6CAC0056"/>
    <w:rsid w:val="6D187112"/>
    <w:rsid w:val="6DD00F51"/>
    <w:rsid w:val="6E130B2A"/>
    <w:rsid w:val="6E4F4EB9"/>
    <w:rsid w:val="6E5205D8"/>
    <w:rsid w:val="6EDA2E31"/>
    <w:rsid w:val="6FC77BC7"/>
    <w:rsid w:val="70C61C0B"/>
    <w:rsid w:val="70E334F7"/>
    <w:rsid w:val="71580C5D"/>
    <w:rsid w:val="71D47169"/>
    <w:rsid w:val="720A3FB4"/>
    <w:rsid w:val="72952050"/>
    <w:rsid w:val="72C23FBE"/>
    <w:rsid w:val="72F81C9E"/>
    <w:rsid w:val="736E3BAB"/>
    <w:rsid w:val="74771360"/>
    <w:rsid w:val="75A56425"/>
    <w:rsid w:val="761362F3"/>
    <w:rsid w:val="76610A06"/>
    <w:rsid w:val="77481BE2"/>
    <w:rsid w:val="77915F20"/>
    <w:rsid w:val="78317136"/>
    <w:rsid w:val="78801057"/>
    <w:rsid w:val="791307B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0A3C89"/>
    <w:rsid w:val="7F952CF3"/>
    <w:rsid w:val="FEEBB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Strong"/>
    <w:basedOn w:val="5"/>
    <w:qFormat/>
    <w:uiPriority w:val="0"/>
    <w:rPr>
      <w:b/>
    </w:rPr>
  </w:style>
  <w:style w:type="character" w:styleId="8">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2022-05-27T14:38:38Z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