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襄汾县第一小学校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实施小学义务教育，促进教育发展。</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根据单位职责分工，本单位内设机构包括办公室、政教处、教导处、工会、后勤处。本单位无下属单位。</w:t>
      </w:r>
    </w:p>
    <w:p>
      <w:pPr>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2022年主要工作任务及目标:</w:t>
      </w:r>
    </w:p>
    <w:p>
      <w:pPr>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一、强化管理、认真落实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1．提高管理水平，明确分工，把工作做得更细，考虑得更全面，扎扎实实地把教学管理工作做到位，从而使教导处的常规管理更科学、更有效。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2．构建教师发展平台，多让教师“走出去”，促进年轻教师的快速成长。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3．继续加强活动课程的教学与管理，综合实践活动能制定切实可行的实施方案，重视过程，让学生得到感受和体验。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4．加大平时检测的力度，建立班级质量跟踪表，对各班学习成绩进行跟踪比较，找出问题，并寻找合适的解决手段，以此更好地提高学生的学习成绩。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5．加大力度改进教学常规的检查模式，对教师常规执行情况进行全方位地诊断。</w:t>
      </w:r>
    </w:p>
    <w:p>
      <w:pPr>
        <w:ind w:firstLine="640" w:firstLineChars="200"/>
        <w:rPr>
          <w:rFonts w:ascii="仿宋" w:hAnsi="仿宋" w:eastAsia="仿宋" w:cs="仿宋"/>
          <w:sz w:val="32"/>
          <w:szCs w:val="32"/>
        </w:rPr>
      </w:pPr>
      <w:r>
        <w:rPr>
          <w:rFonts w:hint="eastAsia" w:ascii="仿宋" w:hAnsi="仿宋" w:eastAsia="仿宋" w:cs="仿宋"/>
          <w:sz w:val="32"/>
          <w:szCs w:val="32"/>
        </w:rPr>
        <w:t>6. 进行“阳光课堂”教师常态课比赛。</w:t>
      </w:r>
    </w:p>
    <w:p>
      <w:pPr>
        <w:ind w:firstLine="643" w:firstLineChars="200"/>
        <w:rPr>
          <w:rFonts w:ascii="仿宋" w:hAnsi="仿宋" w:eastAsia="仿宋" w:cs="仿宋"/>
          <w:b/>
          <w:sz w:val="32"/>
          <w:szCs w:val="32"/>
        </w:rPr>
      </w:pPr>
      <w:bookmarkStart w:id="0" w:name="_GoBack"/>
      <w:bookmarkEnd w:id="0"/>
      <w:r>
        <w:rPr>
          <w:rFonts w:hint="eastAsia" w:ascii="仿宋" w:hAnsi="仿宋" w:eastAsia="仿宋" w:cs="仿宋"/>
          <w:b/>
          <w:sz w:val="32"/>
          <w:szCs w:val="32"/>
        </w:rPr>
        <w:t>二、团结一心，齐抓共管保安全</w:t>
      </w:r>
    </w:p>
    <w:p>
      <w:pPr>
        <w:ind w:firstLine="480" w:firstLineChars="150"/>
        <w:rPr>
          <w:rFonts w:ascii="楷体" w:hAnsi="楷体" w:eastAsia="楷体" w:cs="黑体"/>
          <w:bCs/>
          <w:sz w:val="32"/>
          <w:szCs w:val="32"/>
        </w:rPr>
      </w:pPr>
      <w:r>
        <w:rPr>
          <w:rFonts w:hint="eastAsia" w:ascii="楷体" w:hAnsi="楷体" w:eastAsia="楷体" w:cs="黑体"/>
          <w:bCs/>
          <w:sz w:val="32"/>
          <w:szCs w:val="32"/>
        </w:rPr>
        <w:t>（一）、高度重视策略实，周密部署计划详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学阶段具体安全工作做了详细安排:要求全体教师做好开学准备工作，确保每个学生安全。同时各教学区域严格落实值班制度，建立教师安全值班长效机制，做到安全人人有责、安全无死角。同时规定，开学第一个月是学校的常规教育月，开学第一周为学校的安全教育周，在这一周里，一个月里，全面落实监管责任，强化安全管理，积极规范各项安全工作，形成责任明确化，演练常态化，隐患台账化，教育深入化的安全管理模式。</w:t>
      </w:r>
    </w:p>
    <w:p>
      <w:pPr>
        <w:ind w:firstLine="640" w:firstLineChars="200"/>
        <w:rPr>
          <w:rFonts w:ascii="楷体" w:hAnsi="楷体" w:eastAsia="楷体" w:cs="仿宋_GB2312"/>
          <w:b/>
          <w:sz w:val="32"/>
          <w:szCs w:val="32"/>
        </w:rPr>
      </w:pPr>
      <w:r>
        <w:rPr>
          <w:rFonts w:hint="eastAsia" w:ascii="楷体" w:hAnsi="楷体" w:eastAsia="楷体" w:cs="仿宋_GB2312"/>
          <w:sz w:val="32"/>
          <w:szCs w:val="32"/>
        </w:rPr>
        <w:t>（二）、</w:t>
      </w:r>
      <w:r>
        <w:rPr>
          <w:rFonts w:hint="eastAsia" w:ascii="楷体" w:hAnsi="楷体" w:eastAsia="楷体" w:cs="仿宋_GB2312"/>
          <w:b/>
          <w:sz w:val="32"/>
          <w:szCs w:val="32"/>
        </w:rPr>
        <w:t>落实规范认真排查，规避风险抓好细节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我校对学校的设施设备进行全面检查，各教室的电扇、各教室的暖气、各楼道的学生饮水机等都进行修缮排查。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人防上，建立“值班领导+值班教师+专职保安+值勤学生”的四级安全网格管理体系。校领导每月对校园各个区域及周边进行安全排查，发现问题及时安排解决。课间活动区域的每个角落、重要通道、楼道的拐角处，都有负责安全值班的教师坚守岗位。专职保安24小时值班守护校门，保安课间在校园巡逻，上下学在校门口及小广场处配合110民警值守。加强保安力量，全力确保学生的校园及周边安全。</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三、疫情防控常态化、牢筑防线不放松</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疫情防控方面，严格按照上级要求，思想上高度重视，宣传上不遗余力，物资上充足准备，措施上坚决落实。在师生晨午检、消毒通风、因病缺课、病愈复学等环节层层把关，做到了疫情防控制度化、常态化。坚持人物同防、多病共防，坚决守住疫情防控底线，筑牢疫情防控屏障。</w:t>
      </w: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四、创新教育方式、提升教育内涵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我校坚持以</w:t>
      </w:r>
      <w:r>
        <w:rPr>
          <w:rFonts w:hint="eastAsia" w:ascii="仿宋_GB2312" w:hAnsi="仿宋_GB2312" w:eastAsia="仿宋_GB2312" w:cs="仿宋_GB2312"/>
          <w:bCs/>
          <w:sz w:val="32"/>
          <w:szCs w:val="32"/>
          <w:lang w:eastAsia="zh-CN"/>
        </w:rPr>
        <w:t>习近平</w:t>
      </w:r>
      <w:r>
        <w:rPr>
          <w:rFonts w:hint="eastAsia" w:ascii="仿宋_GB2312" w:hAnsi="仿宋_GB2312" w:eastAsia="仿宋_GB2312" w:cs="仿宋_GB2312"/>
          <w:bCs/>
          <w:sz w:val="32"/>
          <w:szCs w:val="32"/>
        </w:rPr>
        <w:t>新时代中国特色社会主义思想为指导，秉持立德育人的宗旨，牢记</w:t>
      </w:r>
      <w:r>
        <w:rPr>
          <w:rFonts w:hint="eastAsia" w:ascii="仿宋_GB2312" w:hAnsi="仿宋_GB2312" w:eastAsia="仿宋_GB2312" w:cs="仿宋_GB2312"/>
          <w:bCs/>
          <w:sz w:val="32"/>
          <w:szCs w:val="32"/>
          <w:lang w:eastAsia="zh-CN"/>
        </w:rPr>
        <w:t>习近平总书记</w:t>
      </w:r>
      <w:r>
        <w:rPr>
          <w:rFonts w:hint="eastAsia" w:ascii="仿宋_GB2312" w:hAnsi="仿宋_GB2312" w:eastAsia="仿宋_GB2312" w:cs="仿宋_GB2312"/>
          <w:bCs/>
          <w:sz w:val="32"/>
          <w:szCs w:val="32"/>
        </w:rPr>
        <w:t>提出的“四有好老师”、“四个引路人”、“四个相统一”的殷切希望，着力打造一批品德高尚、业务过硬教师队伍。</w:t>
      </w:r>
    </w:p>
    <w:p>
      <w:pPr>
        <w:ind w:firstLine="640" w:firstLineChars="200"/>
        <w:rPr>
          <w:rFonts w:ascii="楷体" w:hAnsi="楷体" w:eastAsia="楷体" w:cs="仿宋_GB2312"/>
          <w:bCs/>
          <w:sz w:val="32"/>
          <w:szCs w:val="32"/>
        </w:rPr>
      </w:pPr>
      <w:r>
        <w:rPr>
          <w:rFonts w:hint="eastAsia" w:ascii="楷体" w:hAnsi="楷体" w:eastAsia="楷体" w:cs="仿宋_GB2312"/>
          <w:bCs/>
          <w:sz w:val="32"/>
          <w:szCs w:val="32"/>
        </w:rPr>
        <w:t>（一）、开展师德师风提升活动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入开展师德师风自查活动、举行师德师风宣誓活动。特设“校长奖”，引领师生向善向美。在全校范围内开展“文明班级”、“道德模范”、“最美少年”、“最美诚信少年”......评选活动，还特别设立“校长奖”，由校长亲自颁发给表现突出的师生，树立榜样。</w:t>
      </w:r>
    </w:p>
    <w:p>
      <w:pPr>
        <w:ind w:firstLine="640" w:firstLineChars="200"/>
        <w:rPr>
          <w:rFonts w:ascii="楷体" w:hAnsi="楷体" w:eastAsia="楷体" w:cs="华文仿宋"/>
          <w:sz w:val="32"/>
          <w:szCs w:val="40"/>
        </w:rPr>
      </w:pPr>
      <w:r>
        <w:rPr>
          <w:rFonts w:hint="eastAsia" w:ascii="楷体" w:hAnsi="楷体" w:eastAsia="楷体" w:cs="仿宋_GB2312"/>
          <w:bCs/>
          <w:sz w:val="32"/>
          <w:szCs w:val="32"/>
        </w:rPr>
        <w:t>（二）、</w:t>
      </w:r>
      <w:r>
        <w:rPr>
          <w:rFonts w:hint="eastAsia" w:ascii="楷体" w:hAnsi="楷体" w:eastAsia="楷体" w:cs="黑体"/>
          <w:sz w:val="32"/>
          <w:szCs w:val="40"/>
        </w:rPr>
        <w:t>强化安全常规管理，推进安全文化建设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学年，我校将进一步规范了安全排查，定期举行了安全演练，开展一周一班会、一月一主题活动，定期对全校学生进行安全专项主题教育，如防溺水、防火、防校园欺凌、防三无食品等等，做到安全工作时时抓、处处抓，为学生健康成长搭建安全屏障，同时建立安全工作机制，安全值班机制、区域安全巡逻机制等等，做到安全无死角，并积极推进安全文化建设，培养学生的规则意识，公共意识，进一步培养学生的公民基本素养。</w:t>
      </w:r>
    </w:p>
    <w:p>
      <w:pPr>
        <w:numPr>
          <w:ilvl w:val="0"/>
          <w:numId w:val="2"/>
        </w:numPr>
        <w:ind w:firstLine="640" w:firstLineChars="200"/>
        <w:rPr>
          <w:rFonts w:hint="eastAsia" w:ascii="楷体" w:hAnsi="楷体" w:eastAsia="楷体" w:cs="仿宋_GB2312"/>
          <w:sz w:val="32"/>
          <w:szCs w:val="32"/>
        </w:rPr>
      </w:pPr>
      <w:r>
        <w:rPr>
          <w:rFonts w:hint="eastAsia" w:ascii="楷体" w:hAnsi="楷体" w:eastAsia="楷体" w:cs="仿宋_GB2312"/>
          <w:sz w:val="32"/>
          <w:szCs w:val="32"/>
        </w:rPr>
        <w:t>、强化管理力量，靓丽校园风貌</w:t>
      </w:r>
    </w:p>
    <w:p>
      <w:pPr>
        <w:ind w:firstLine="640" w:firstLineChars="200"/>
        <w:rPr>
          <w:rFonts w:hint="eastAsia" w:ascii="楷体" w:hAnsi="楷体" w:eastAsia="楷体" w:cs="仿宋_GB2312"/>
          <w:sz w:val="32"/>
          <w:szCs w:val="32"/>
        </w:rPr>
      </w:pPr>
      <w:r>
        <w:rPr>
          <w:rFonts w:hint="eastAsia" w:ascii="楷体" w:hAnsi="楷体" w:eastAsia="楷体" w:cs="仿宋_GB2312"/>
          <w:sz w:val="32"/>
          <w:szCs w:val="32"/>
        </w:rPr>
        <w:t>（四）、强化巡查力度，树立美好形象</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pStyle w:val="2"/>
        <w:rPr>
          <w:rFonts w:hint="eastAsia"/>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2022年度收入、支出预算总计</w:t>
      </w:r>
      <w:r>
        <w:rPr>
          <w:rFonts w:hint="eastAsia" w:ascii="仿宋_GB2312" w:hAnsi="楷体" w:eastAsia="仿宋_GB2312"/>
          <w:kern w:val="0"/>
          <w:sz w:val="32"/>
          <w:szCs w:val="32"/>
          <w:u w:val="single"/>
        </w:rPr>
        <w:t xml:space="preserve"> 1552.37  </w:t>
      </w:r>
      <w:r>
        <w:rPr>
          <w:rFonts w:hint="eastAsia" w:ascii="仿宋_GB2312" w:hAnsi="楷体" w:eastAsia="仿宋_GB2312"/>
          <w:kern w:val="0"/>
          <w:sz w:val="32"/>
          <w:szCs w:val="32"/>
        </w:rPr>
        <w:t>万元，与上年相比收、支预算总计减少</w:t>
      </w:r>
      <w:r>
        <w:rPr>
          <w:rFonts w:hint="eastAsia" w:ascii="仿宋_GB2312" w:hAnsi="楷体" w:eastAsia="仿宋_GB2312"/>
          <w:kern w:val="0"/>
          <w:sz w:val="32"/>
          <w:szCs w:val="32"/>
          <w:u w:val="single"/>
        </w:rPr>
        <w:t xml:space="preserve"> 121.1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7.24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1552.37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1552.37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1552.37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121.1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7.24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021</w:t>
      </w:r>
      <w:r>
        <w:rPr>
          <w:rFonts w:hint="eastAsia" w:ascii="仿宋_GB2312" w:hAnsi="楷体" w:eastAsia="仿宋_GB2312"/>
          <w:kern w:val="0"/>
          <w:sz w:val="32"/>
          <w:szCs w:val="32"/>
        </w:rPr>
        <w:t>年包括提前下达的专项资金，本年年初预算不包含，本年提前下达的专项资金通过行文下达。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1552.37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w:t>
      </w:r>
      <w:r>
        <w:rPr>
          <w:rFonts w:hint="eastAsia" w:ascii="仿宋_GB2312" w:hAnsi="楷体" w:eastAsia="仿宋_GB2312"/>
          <w:kern w:val="0"/>
          <w:sz w:val="32"/>
          <w:szCs w:val="32"/>
          <w:u w:val="single"/>
        </w:rPr>
        <w:t>1197.96</w:t>
      </w:r>
      <w:r>
        <w:rPr>
          <w:rFonts w:hint="eastAsia" w:ascii="仿宋_GB2312" w:hAnsi="楷体" w:eastAsia="仿宋_GB2312"/>
          <w:kern w:val="0"/>
          <w:sz w:val="32"/>
          <w:szCs w:val="32"/>
        </w:rPr>
        <w:t>万元，主要用于教师工资支出和上级专项资金的配套支出。与上年相比减少</w:t>
      </w:r>
      <w:r>
        <w:rPr>
          <w:rFonts w:hint="eastAsia" w:ascii="仿宋_GB2312" w:hAnsi="楷体" w:eastAsia="仿宋_GB2312"/>
          <w:kern w:val="0"/>
          <w:sz w:val="32"/>
          <w:szCs w:val="32"/>
          <w:u w:val="single"/>
        </w:rPr>
        <w:t>120</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9.1</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社会保障就业支出</w:t>
      </w:r>
      <w:r>
        <w:rPr>
          <w:rFonts w:hint="eastAsia" w:ascii="仿宋_GB2312" w:hAnsi="楷体" w:eastAsia="仿宋_GB2312"/>
          <w:kern w:val="0"/>
          <w:sz w:val="32"/>
          <w:szCs w:val="32"/>
          <w:u w:val="single"/>
        </w:rPr>
        <w:t>202.69</w:t>
      </w:r>
      <w:r>
        <w:rPr>
          <w:rFonts w:hint="eastAsia" w:ascii="仿宋_GB2312" w:hAnsi="楷体" w:eastAsia="仿宋_GB2312"/>
          <w:kern w:val="0"/>
          <w:sz w:val="32"/>
          <w:szCs w:val="32"/>
        </w:rPr>
        <w:t>万元，主要用于各项保险财补部分支出和2018年-2021年退休人员一次性补贴支出。与上年相比增加</w:t>
      </w:r>
      <w:r>
        <w:rPr>
          <w:rFonts w:hint="eastAsia" w:ascii="仿宋_GB2312" w:hAnsi="楷体" w:eastAsia="仿宋_GB2312"/>
          <w:kern w:val="0"/>
          <w:sz w:val="32"/>
          <w:szCs w:val="32"/>
          <w:u w:val="single"/>
        </w:rPr>
        <w:t>4.46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2.24</w:t>
      </w:r>
      <w:r>
        <w:rPr>
          <w:rFonts w:hint="eastAsia" w:ascii="仿宋_GB2312" w:hAnsi="楷体" w:eastAsia="仿宋_GB2312"/>
          <w:kern w:val="0"/>
          <w:sz w:val="32"/>
          <w:szCs w:val="32"/>
        </w:rPr>
        <w:t>%。主要原因是增加了退休人员一次性补贴支出。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 卫生健康支出</w:t>
      </w:r>
      <w:r>
        <w:rPr>
          <w:rFonts w:hint="eastAsia" w:ascii="仿宋_GB2312" w:hAnsi="楷体" w:eastAsia="仿宋_GB2312"/>
          <w:kern w:val="0"/>
          <w:sz w:val="32"/>
          <w:szCs w:val="32"/>
          <w:u w:val="single"/>
        </w:rPr>
        <w:t>73.01</w:t>
      </w:r>
      <w:r>
        <w:rPr>
          <w:rFonts w:hint="eastAsia" w:ascii="仿宋_GB2312" w:hAnsi="楷体" w:eastAsia="仿宋_GB2312"/>
          <w:kern w:val="0"/>
          <w:sz w:val="32"/>
          <w:szCs w:val="32"/>
        </w:rPr>
        <w:t>万元，主要用于医疗保险财补部分支出。与上年相比减少</w:t>
      </w:r>
      <w:r>
        <w:rPr>
          <w:rFonts w:hint="eastAsia" w:ascii="仿宋_GB2312" w:hAnsi="楷体" w:eastAsia="仿宋_GB2312"/>
          <w:kern w:val="0"/>
          <w:sz w:val="32"/>
          <w:szCs w:val="32"/>
          <w:u w:val="single"/>
        </w:rPr>
        <w:t>2.35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3.12</w:t>
      </w:r>
      <w:r>
        <w:rPr>
          <w:rFonts w:hint="eastAsia" w:ascii="仿宋_GB2312" w:hAnsi="楷体" w:eastAsia="仿宋_GB2312"/>
          <w:kern w:val="0"/>
          <w:sz w:val="32"/>
          <w:szCs w:val="32"/>
        </w:rPr>
        <w:t>%。主要原因是医疗保险财补部分支出减少。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 住房保障支出</w:t>
      </w:r>
      <w:r>
        <w:rPr>
          <w:rFonts w:hint="eastAsia" w:ascii="仿宋_GB2312" w:hAnsi="楷体" w:eastAsia="仿宋_GB2312"/>
          <w:kern w:val="0"/>
          <w:sz w:val="32"/>
          <w:szCs w:val="32"/>
          <w:u w:val="single"/>
        </w:rPr>
        <w:t>78.71</w:t>
      </w:r>
      <w:r>
        <w:rPr>
          <w:rFonts w:hint="eastAsia" w:ascii="仿宋_GB2312" w:hAnsi="楷体" w:eastAsia="仿宋_GB2312"/>
          <w:kern w:val="0"/>
          <w:sz w:val="32"/>
          <w:szCs w:val="32"/>
        </w:rPr>
        <w:t>万元，主要用于住房公积金财补部分支出。与上年相比减少</w:t>
      </w:r>
      <w:r>
        <w:rPr>
          <w:rFonts w:hint="eastAsia" w:ascii="仿宋_GB2312" w:hAnsi="楷体" w:eastAsia="仿宋_GB2312"/>
          <w:kern w:val="0"/>
          <w:sz w:val="32"/>
          <w:szCs w:val="32"/>
          <w:u w:val="single"/>
        </w:rPr>
        <w:t>3.21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3.92</w:t>
      </w:r>
      <w:r>
        <w:rPr>
          <w:rFonts w:hint="eastAsia" w:ascii="仿宋_GB2312" w:hAnsi="楷体" w:eastAsia="仿宋_GB2312"/>
          <w:kern w:val="0"/>
          <w:sz w:val="32"/>
          <w:szCs w:val="32"/>
        </w:rPr>
        <w:t>%。主要原因是住房公积金财补部分支出减少。</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5．基本支出预算数为</w:t>
      </w:r>
      <w:r>
        <w:rPr>
          <w:rFonts w:hint="eastAsia" w:ascii="仿宋_GB2312" w:hAnsi="楷体" w:eastAsia="仿宋_GB2312"/>
          <w:kern w:val="0"/>
          <w:sz w:val="32"/>
          <w:szCs w:val="32"/>
          <w:u w:val="single"/>
        </w:rPr>
        <w:t>1421.68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49.61</w:t>
      </w:r>
      <w:r>
        <w:rPr>
          <w:rFonts w:hint="eastAsia" w:ascii="仿宋_GB2312" w:hAnsi="楷体" w:eastAsia="仿宋_GB2312"/>
          <w:kern w:val="0"/>
          <w:sz w:val="32"/>
          <w:szCs w:val="32"/>
        </w:rPr>
        <w:t>万元，减少3.37%。主要原因是人员退休人数增加。项目支出预算数为</w:t>
      </w:r>
      <w:r>
        <w:rPr>
          <w:rFonts w:hint="eastAsia" w:ascii="仿宋_GB2312" w:hAnsi="楷体" w:eastAsia="仿宋_GB2312"/>
          <w:kern w:val="0"/>
          <w:sz w:val="32"/>
          <w:szCs w:val="32"/>
          <w:u w:val="single"/>
        </w:rPr>
        <w:t>130.69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71.49</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35.36</w:t>
      </w:r>
      <w:r>
        <w:rPr>
          <w:rFonts w:hint="eastAsia" w:ascii="仿宋_GB2312" w:hAnsi="楷体" w:eastAsia="仿宋_GB2312"/>
          <w:kern w:val="0"/>
          <w:sz w:val="32"/>
          <w:szCs w:val="32"/>
        </w:rPr>
        <w:t>%。主要原因是2021年我单位硬化操场，另外2021年包括提前下达的专项资金，本年年初预算不包含，本年提前下达的专项资金通过行文下达。</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襄汾县第一小学校本年收入预算合计</w:t>
      </w:r>
      <w:r>
        <w:rPr>
          <w:rFonts w:hint="eastAsia" w:ascii="仿宋_GB2312" w:hAnsi="楷体" w:eastAsia="仿宋_GB2312"/>
          <w:kern w:val="0"/>
          <w:sz w:val="32"/>
          <w:szCs w:val="32"/>
          <w:u w:val="single"/>
        </w:rPr>
        <w:t xml:space="preserve"> 1552.37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1552.37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100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襄汾县第一小学校本年支出预算合计</w:t>
      </w:r>
      <w:r>
        <w:rPr>
          <w:rFonts w:hint="eastAsia" w:ascii="仿宋_GB2312" w:hAnsi="楷体" w:eastAsia="仿宋_GB2312"/>
          <w:kern w:val="0"/>
          <w:sz w:val="32"/>
          <w:szCs w:val="32"/>
          <w:u w:val="single"/>
        </w:rPr>
        <w:t xml:space="preserve"> 1552.37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1421.68</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91.58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130.69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8.42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襄汾县第一小学校2022年度财政拨款收、支总预算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1552.37</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121.1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7.24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襄汾县第一小学校2022年一般公共预算支出预算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1552.37</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121.1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7.24   </w:t>
      </w:r>
      <w:r>
        <w:rPr>
          <w:rFonts w:ascii="仿宋_GB2312" w:hAnsi="楷体" w:eastAsia="仿宋_GB2312"/>
          <w:kern w:val="0"/>
          <w:sz w:val="32"/>
          <w:szCs w:val="32"/>
        </w:rPr>
        <w:t>%</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襄汾县第一小学校2022年度一般公共预算基本支出预算1290.15万元，其中：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rPr>
        <w:t xml:space="preserve">1421.68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632.64</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74.46</w:t>
      </w:r>
      <w:r>
        <w:rPr>
          <w:rFonts w:hint="eastAsia" w:ascii="仿宋_GB2312" w:hAnsi="楷体" w:eastAsia="仿宋_GB2312"/>
          <w:kern w:val="0"/>
          <w:sz w:val="32"/>
          <w:szCs w:val="32"/>
        </w:rPr>
        <w:t>万元、奖金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322.15</w:t>
      </w:r>
      <w:r>
        <w:rPr>
          <w:rFonts w:hint="eastAsia" w:ascii="仿宋_GB2312" w:hAnsi="楷体" w:eastAsia="仿宋_GB2312"/>
          <w:kern w:val="0"/>
          <w:sz w:val="32"/>
          <w:szCs w:val="32"/>
        </w:rPr>
        <w:t>万元、伙食补助费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367.83</w:t>
      </w:r>
      <w:r>
        <w:rPr>
          <w:rFonts w:hint="eastAsia" w:ascii="仿宋_GB2312" w:hAnsi="楷体" w:eastAsia="仿宋_GB2312"/>
          <w:kern w:val="0"/>
          <w:sz w:val="32"/>
          <w:szCs w:val="32"/>
        </w:rPr>
        <w:t>万元、其他工资福利支出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23.07</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0.36</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78.71</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襄汾县第一小学校2022年政府性基金支出预算支出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襄汾县第一小学校2022年度一般公共预算拨款安排的“三公”经费预算支出中，因公出国（境）费支出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万元。主要原因无因公出国（境）。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万元。主要原因无公务用车购置。</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万元，主要原因无公务用车。</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万元，主要原因我单位无公务接待。</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w:t>
      </w:r>
      <w:r>
        <w:rPr>
          <w:rFonts w:hint="eastAsia" w:ascii="仿宋_GB2312" w:hAnsi="楷体" w:eastAsia="仿宋_GB2312"/>
          <w:kern w:val="0"/>
          <w:sz w:val="32"/>
          <w:szCs w:val="32"/>
          <w:u w:val="single"/>
        </w:rPr>
        <w:t xml:space="preserve">  9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130.69   </w:t>
      </w:r>
      <w:r>
        <w:rPr>
          <w:rFonts w:hint="eastAsia" w:ascii="仿宋_GB2312" w:hAnsi="楷体" w:eastAsia="仿宋_GB2312"/>
          <w:kern w:val="0"/>
          <w:sz w:val="32"/>
          <w:szCs w:val="32"/>
        </w:rPr>
        <w:t>万元；本单位单位整体支出（</w:t>
      </w:r>
      <w:r>
        <w:rPr>
          <w:rFonts w:hint="eastAsia" w:ascii="仿宋_GB2312" w:hAnsi="楷体" w:eastAsia="仿宋_GB2312"/>
          <w:kern w:val="0"/>
          <w:sz w:val="32"/>
          <w:szCs w:val="32"/>
        </w:rPr>
        <w:sym w:font="Wingdings 2" w:char="F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1552.37</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1603" w:firstLineChars="501"/>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 xml:space="preserve">     本单位未使用政府债券。</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widowControl/>
        <w:spacing w:line="560" w:lineRule="exact"/>
        <w:ind w:left="636"/>
        <w:rPr>
          <w:rFonts w:ascii="仿宋_GB2312" w:hAnsi="仿宋" w:eastAsia="仿宋_GB2312"/>
          <w:kern w:val="0"/>
          <w:sz w:val="32"/>
          <w:szCs w:val="32"/>
        </w:rPr>
      </w:pPr>
      <w:r>
        <w:rPr>
          <w:rFonts w:hint="eastAsia" w:ascii="仿宋_GB2312" w:hAnsi="仿宋" w:eastAsia="仿宋_GB2312"/>
          <w:kern w:val="0"/>
          <w:sz w:val="32"/>
          <w:szCs w:val="32"/>
        </w:rPr>
        <w:t xml:space="preserve">      本单位未使用政府债券。</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spacing w:line="560" w:lineRule="exact"/>
        <w:ind w:left="636"/>
        <w:rPr>
          <w:rFonts w:ascii="仿宋_GB2312" w:hAnsi="黑体" w:eastAsia="仿宋_GB2312"/>
          <w:b/>
          <w:spacing w:val="-16"/>
          <w:kern w:val="0"/>
          <w:sz w:val="32"/>
          <w:szCs w:val="32"/>
        </w:rPr>
      </w:pPr>
      <w:r>
        <w:rPr>
          <w:rFonts w:hint="eastAsia" w:ascii="仿宋_GB2312" w:hAnsi="仿宋" w:eastAsia="仿宋_GB2312"/>
          <w:kern w:val="0"/>
          <w:sz w:val="32"/>
          <w:szCs w:val="32"/>
        </w:rPr>
        <w:t xml:space="preserve">       本单位未使用政府债券。</w:t>
      </w:r>
    </w:p>
    <w:p>
      <w:pPr>
        <w:widowControl/>
        <w:numPr>
          <w:ilvl w:val="0"/>
          <w:numId w:val="5"/>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其他</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本单位未使用政府债券。</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8</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EB0B81BD"/>
    <w:multiLevelType w:val="singleLevel"/>
    <w:tmpl w:val="EB0B81BD"/>
    <w:lvl w:ilvl="0" w:tentative="0">
      <w:start w:val="2"/>
      <w:numFmt w:val="decimal"/>
      <w:suff w:val="nothing"/>
      <w:lvlText w:val="（%1）"/>
      <w:lvlJc w:val="left"/>
    </w:lvl>
  </w:abstractNum>
  <w:abstractNum w:abstractNumId="2">
    <w:nsid w:val="140CFFBE"/>
    <w:multiLevelType w:val="singleLevel"/>
    <w:tmpl w:val="140CFFBE"/>
    <w:lvl w:ilvl="0" w:tentative="0">
      <w:start w:val="2"/>
      <w:numFmt w:val="chineseCounting"/>
      <w:suff w:val="nothing"/>
      <w:lvlText w:val="（%1）"/>
      <w:lvlJc w:val="left"/>
      <w:rPr>
        <w:rFonts w:hint="eastAsia"/>
      </w:rPr>
    </w:lvl>
  </w:abstractNum>
  <w:abstractNum w:abstractNumId="3">
    <w:nsid w:val="2BBF2918"/>
    <w:multiLevelType w:val="singleLevel"/>
    <w:tmpl w:val="2BBF2918"/>
    <w:lvl w:ilvl="0" w:tentative="0">
      <w:start w:val="3"/>
      <w:numFmt w:val="chineseCounting"/>
      <w:suff w:val="nothing"/>
      <w:lvlText w:val="（%1）"/>
      <w:lvlJc w:val="left"/>
      <w:rPr>
        <w:rFonts w:hint="eastAsia"/>
      </w:rPr>
    </w:lvl>
  </w:abstractNum>
  <w:abstractNum w:abstractNumId="4">
    <w:nsid w:val="5456D05E"/>
    <w:multiLevelType w:val="singleLevel"/>
    <w:tmpl w:val="5456D05E"/>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C4"/>
    <w:rsid w:val="00314382"/>
    <w:rsid w:val="006D1FEF"/>
    <w:rsid w:val="00DC1EC4"/>
    <w:rsid w:val="00E813C4"/>
    <w:rsid w:val="00EF1C6F"/>
    <w:rsid w:val="01607A86"/>
    <w:rsid w:val="01E2763B"/>
    <w:rsid w:val="02302B49"/>
    <w:rsid w:val="02496741"/>
    <w:rsid w:val="02F71C94"/>
    <w:rsid w:val="036330BA"/>
    <w:rsid w:val="03B37DE6"/>
    <w:rsid w:val="042A46B1"/>
    <w:rsid w:val="047252B7"/>
    <w:rsid w:val="0595462A"/>
    <w:rsid w:val="05E51BD6"/>
    <w:rsid w:val="068F085F"/>
    <w:rsid w:val="06C82279"/>
    <w:rsid w:val="06DD6518"/>
    <w:rsid w:val="080611AA"/>
    <w:rsid w:val="081A4BED"/>
    <w:rsid w:val="09184A9F"/>
    <w:rsid w:val="09ED16A4"/>
    <w:rsid w:val="0A395A2B"/>
    <w:rsid w:val="0A781506"/>
    <w:rsid w:val="0A831A07"/>
    <w:rsid w:val="0B775A54"/>
    <w:rsid w:val="0B7A268C"/>
    <w:rsid w:val="0C550EC0"/>
    <w:rsid w:val="0C9C13F0"/>
    <w:rsid w:val="0ECF36D9"/>
    <w:rsid w:val="0FAC09AE"/>
    <w:rsid w:val="10171A91"/>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1B532F"/>
    <w:rsid w:val="297F60F4"/>
    <w:rsid w:val="29C54245"/>
    <w:rsid w:val="29E745D6"/>
    <w:rsid w:val="2A0C4B1E"/>
    <w:rsid w:val="2A997794"/>
    <w:rsid w:val="2AA80908"/>
    <w:rsid w:val="2B4A170A"/>
    <w:rsid w:val="2C292926"/>
    <w:rsid w:val="2D282446"/>
    <w:rsid w:val="2DFF008B"/>
    <w:rsid w:val="2E08317D"/>
    <w:rsid w:val="2E3D5A38"/>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E7E5A2F"/>
    <w:rsid w:val="3ED335DC"/>
    <w:rsid w:val="3F0D5E27"/>
    <w:rsid w:val="3F510BAC"/>
    <w:rsid w:val="3F5B1A54"/>
    <w:rsid w:val="3FF763B7"/>
    <w:rsid w:val="4010633E"/>
    <w:rsid w:val="406929B7"/>
    <w:rsid w:val="41274A97"/>
    <w:rsid w:val="413855EC"/>
    <w:rsid w:val="41F73716"/>
    <w:rsid w:val="42314B4F"/>
    <w:rsid w:val="42321896"/>
    <w:rsid w:val="42932653"/>
    <w:rsid w:val="42A87774"/>
    <w:rsid w:val="436B0382"/>
    <w:rsid w:val="445A3EF2"/>
    <w:rsid w:val="44B8486B"/>
    <w:rsid w:val="45047640"/>
    <w:rsid w:val="457C07BD"/>
    <w:rsid w:val="46463CE7"/>
    <w:rsid w:val="47997B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ADF1D55"/>
    <w:rsid w:val="5B494D63"/>
    <w:rsid w:val="5B9F36DE"/>
    <w:rsid w:val="5BDF11E0"/>
    <w:rsid w:val="5CA16867"/>
    <w:rsid w:val="5D15689C"/>
    <w:rsid w:val="5F074BD6"/>
    <w:rsid w:val="5F4C57DE"/>
    <w:rsid w:val="5F767359"/>
    <w:rsid w:val="5FA40E1A"/>
    <w:rsid w:val="5FAE6B95"/>
    <w:rsid w:val="606F031B"/>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63203C"/>
    <w:rsid w:val="71D47169"/>
    <w:rsid w:val="720A3FB4"/>
    <w:rsid w:val="72C23FBE"/>
    <w:rsid w:val="72F81C9E"/>
    <w:rsid w:val="736E3BAB"/>
    <w:rsid w:val="747562C9"/>
    <w:rsid w:val="74F222C8"/>
    <w:rsid w:val="75A56425"/>
    <w:rsid w:val="761362F3"/>
    <w:rsid w:val="77481BE2"/>
    <w:rsid w:val="77915F20"/>
    <w:rsid w:val="78317136"/>
    <w:rsid w:val="78801057"/>
    <w:rsid w:val="79333014"/>
    <w:rsid w:val="7A0A6456"/>
    <w:rsid w:val="7A810D19"/>
    <w:rsid w:val="7A82651F"/>
    <w:rsid w:val="7ADE0B82"/>
    <w:rsid w:val="7AED2B21"/>
    <w:rsid w:val="7B3A5C4F"/>
    <w:rsid w:val="7B787240"/>
    <w:rsid w:val="7BB41C66"/>
    <w:rsid w:val="7C3C5269"/>
    <w:rsid w:val="7C560D3A"/>
    <w:rsid w:val="7C605D84"/>
    <w:rsid w:val="7CB85B57"/>
    <w:rsid w:val="7CBB5016"/>
    <w:rsid w:val="7DAF3E53"/>
    <w:rsid w:val="7DD51D8B"/>
    <w:rsid w:val="7E2E3893"/>
    <w:rsid w:val="7E6B6F8A"/>
    <w:rsid w:val="7EE77A7C"/>
    <w:rsid w:val="7F952CF3"/>
    <w:rsid w:val="FFFF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1"/>
    <w:qFormat/>
    <w:uiPriority w:val="0"/>
    <w:pPr>
      <w:ind w:left="420" w:leftChars="200"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756</Words>
  <Characters>4311</Characters>
  <Lines>35</Lines>
  <Paragraphs>10</Paragraphs>
  <TotalTime>11</TotalTime>
  <ScaleCrop>false</ScaleCrop>
  <LinksUpToDate>false</LinksUpToDate>
  <CharactersWithSpaces>5057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Administrator.PC-20180123RJTY</dc:creator>
  <cp:lastModifiedBy>kylin</cp:lastModifiedBy>
  <cp:lastPrinted>2020-05-19T19:47:00Z</cp:lastPrinted>
  <dcterms:modified xsi:type="dcterms:W3CDTF">2022-08-04T16:15:43Z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