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bookmarkStart w:id="0" w:name="_GoBack"/>
      <w:r>
        <w:rPr>
          <w:rFonts w:hint="eastAsia" w:ascii="宋体" w:hAnsi="宋体" w:eastAsia="宋体" w:cs="宋体"/>
          <w:b/>
          <w:bCs/>
          <w:kern w:val="0"/>
          <w:sz w:val="44"/>
          <w:szCs w:val="44"/>
        </w:rPr>
        <w:t>襄汾县大邓乡联合学校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bookmarkEnd w:id="0"/>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ind w:firstLine="640" w:firstLineChars="200"/>
        <w:rPr>
          <w:rFonts w:ascii="仿宋" w:hAnsi="仿宋" w:eastAsia="仿宋"/>
          <w:sz w:val="32"/>
          <w:szCs w:val="32"/>
        </w:rPr>
      </w:pPr>
      <w:r>
        <w:rPr>
          <w:rFonts w:hint="eastAsia" w:ascii="仿宋" w:hAnsi="仿宋" w:eastAsia="仿宋"/>
          <w:sz w:val="32"/>
          <w:szCs w:val="32"/>
        </w:rPr>
        <w:t>襄汾县大邓乡联合学校主要职责：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sz w:val="32"/>
          <w:szCs w:val="32"/>
        </w:rPr>
        <w:t>指导和监督所属学校对党和国家的教育方针、政策、法律、法规的贯彻执行，依法办学；按照干部管理权限任免所属学校的主要领导</w:t>
      </w:r>
      <w:r>
        <w:rPr>
          <w:rFonts w:hint="eastAsia" w:ascii="仿宋_GB2312" w:hAnsi="楷体" w:eastAsia="仿宋_GB2312"/>
          <w:sz w:val="32"/>
          <w:szCs w:val="32"/>
          <w:lang w:eastAsia="zh-CN"/>
        </w:rPr>
        <w:t>干</w:t>
      </w:r>
      <w:r>
        <w:rPr>
          <w:rFonts w:hint="eastAsia" w:ascii="仿宋_GB2312" w:hAnsi="楷体" w:eastAsia="仿宋_GB2312"/>
          <w:sz w:val="32"/>
          <w:szCs w:val="32"/>
        </w:rPr>
        <w:t>部；负责本联校教师队伍建设、管理工作；管理和指导所属学校的教育教学和教学研究工作，以及中小学教育教学质量检测评估工作；负责所属学校党的建设、党风廉政建设、精神文明建设、思想政治工作、干部教育工作和统战、群团工作；负责所属学校的学生管理工作；负责并监管本联校各类教育的财务、统计、审计等工作；负责监督和指导所属学校社会治安综合治理及安全稳定工作；协助乡镇政府和县教科局做好调整学校布局和改善中小学、幼儿园办学条件的相关工作 ；完成主管部门交办的其他工作。</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ind w:firstLine="640" w:firstLineChars="200"/>
        <w:rPr>
          <w:rFonts w:ascii="仿宋_GB2312" w:hAnsi="楷体" w:eastAsia="仿宋_GB2312"/>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sz w:val="32"/>
          <w:szCs w:val="32"/>
        </w:rPr>
        <w:t>根据</w:t>
      </w:r>
      <w:r>
        <w:rPr>
          <w:rFonts w:hint="eastAsia" w:ascii="仿宋_GB2312" w:hAnsi="楷体" w:eastAsia="仿宋_GB2312"/>
          <w:kern w:val="0"/>
          <w:sz w:val="32"/>
          <w:szCs w:val="32"/>
        </w:rPr>
        <w:t>机构设置构成情况</w:t>
      </w:r>
      <w:r>
        <w:rPr>
          <w:rFonts w:hint="eastAsia" w:ascii="仿宋_GB2312" w:hAnsi="楷体" w:eastAsia="仿宋_GB2312"/>
          <w:sz w:val="32"/>
          <w:szCs w:val="32"/>
        </w:rPr>
        <w:t>，本单位的名称是襄汾县大邓乡联合学校，承办单位是襄汾县教育科技局，单位性质是财政补助事业单位，单位统一社会信用代码：12140923788533653L,会计制度为政府会计制度。本单位下属单位包括：襄汾县大邓乡九年一贯制学校、襄汾县大邓乡大邓幼儿园。</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 年主要工作任务及目标</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1、襄汾县大邓乡大邓幼儿园要实现内涵发展、规模发展、规范发展、质量发展、特色发展，力争跨入市县同类幼儿园先进行列；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 襄汾县大邓乡九年一贯制学校要积极创特色、创品牌、创名校，争取跨入省市名校行列，实现省级文明校园创建目标；</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 要大力加强校园文化建设，努力形成独特的校园文化、走廊文化、墙壁文化、餐厅文化、宿舍文化、地面文化、课桌文化、床头文化、植物文化，争取校园文化建设有内涵、有创新、上档次、上品牌；</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 要坚定不移抓安全抓创建，将大邓乡九年一贯制学校、大邓乡大邓幼儿园创建成市县平安和谐校园、“三零”校园；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 大邓乡九年一贯制学校要在认真总结多年抓教研抓管理的基本经验，深入挖掘内在潜力，拓展对外交流合作，力争2022年中考评估在农村初中争一保二，争取培养3至5名在市县有一定影响的青年教学新秀。</w:t>
      </w:r>
    </w:p>
    <w:p>
      <w:pPr>
        <w:widowControl/>
        <w:spacing w:line="560" w:lineRule="exact"/>
        <w:ind w:firstLine="636"/>
        <w:rPr>
          <w:rFonts w:ascii="仿宋_GB2312" w:hAnsi="楷体" w:eastAsia="仿宋_GB2312"/>
          <w:kern w:val="0"/>
          <w:sz w:val="32"/>
          <w:szCs w:val="32"/>
        </w:rPr>
      </w:pPr>
    </w:p>
    <w:p>
      <w:pPr>
        <w:widowControl/>
        <w:spacing w:line="560" w:lineRule="exact"/>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襄汾县大邓乡联合学校2022年度收入、支出预算总计</w:t>
      </w:r>
      <w:r>
        <w:rPr>
          <w:rFonts w:hint="eastAsia" w:ascii="仿宋_GB2312" w:hAnsi="楷体" w:eastAsia="仿宋_GB2312"/>
          <w:kern w:val="0"/>
          <w:sz w:val="32"/>
          <w:szCs w:val="32"/>
          <w:u w:val="single"/>
        </w:rPr>
        <w:t xml:space="preserve">   1243.72</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rPr>
        <w:t xml:space="preserve"> 63.52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4.9</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1243.72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1243.72</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rPr>
        <w:t>1200.88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106.36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8.1</w:t>
      </w:r>
      <w:r>
        <w:rPr>
          <w:rFonts w:ascii="仿宋_GB2312" w:hAnsi="楷体" w:eastAsia="仿宋_GB2312"/>
          <w:kern w:val="0"/>
          <w:sz w:val="32"/>
          <w:szCs w:val="32"/>
        </w:rPr>
        <w:t>%</w:t>
      </w:r>
      <w:r>
        <w:rPr>
          <w:rFonts w:hint="eastAsia" w:ascii="仿宋_GB2312" w:hAnsi="楷体" w:eastAsia="仿宋_GB2312"/>
          <w:kern w:val="0"/>
          <w:sz w:val="32"/>
          <w:szCs w:val="32"/>
        </w:rPr>
        <w:t>。主要原因是人员减少。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42.85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42.85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ascii="仿宋_GB2312" w:hAnsi="楷体" w:eastAsia="仿宋_GB2312"/>
          <w:kern w:val="0"/>
          <w:sz w:val="32"/>
          <w:szCs w:val="32"/>
        </w:rPr>
        <w:t>2021</w:t>
      </w:r>
      <w:r>
        <w:rPr>
          <w:rFonts w:hint="eastAsia" w:ascii="仿宋_GB2312" w:hAnsi="楷体" w:eastAsia="仿宋_GB2312"/>
          <w:kern w:val="0"/>
          <w:sz w:val="32"/>
          <w:szCs w:val="32"/>
        </w:rPr>
        <w:t>年无政府性基金，今年增加了学校空气源热泵取暖服务费和农村中小学幼儿园厕所改造项目。</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1243.72</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．教育支出支出</w:t>
      </w:r>
      <w:r>
        <w:rPr>
          <w:rFonts w:hint="eastAsia" w:ascii="仿宋_GB2312" w:hAnsi="楷体" w:eastAsia="仿宋_GB2312"/>
          <w:kern w:val="0"/>
          <w:sz w:val="32"/>
          <w:szCs w:val="32"/>
          <w:u w:val="single"/>
        </w:rPr>
        <w:t>909.16</w:t>
      </w:r>
      <w:r>
        <w:rPr>
          <w:rFonts w:hint="eastAsia" w:ascii="仿宋_GB2312" w:hAnsi="楷体" w:eastAsia="仿宋_GB2312"/>
          <w:kern w:val="0"/>
          <w:sz w:val="32"/>
          <w:szCs w:val="32"/>
        </w:rPr>
        <w:t>万元，主要用于教师工资支出和上级专项资金的配套支出。与上年相比减少</w:t>
      </w:r>
      <w:r>
        <w:rPr>
          <w:rFonts w:hint="eastAsia" w:ascii="仿宋_GB2312" w:hAnsi="楷体" w:eastAsia="仿宋_GB2312"/>
          <w:kern w:val="0"/>
          <w:sz w:val="32"/>
          <w:szCs w:val="32"/>
          <w:u w:val="single"/>
        </w:rPr>
        <w:t>104.63</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10.3</w:t>
      </w:r>
      <w:r>
        <w:rPr>
          <w:rFonts w:hint="eastAsia" w:ascii="仿宋_GB2312" w:hAnsi="楷体" w:eastAsia="仿宋_GB2312"/>
          <w:kern w:val="0"/>
          <w:sz w:val="32"/>
          <w:szCs w:val="32"/>
        </w:rPr>
        <w:t>%。主要原因是人员减少。</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．社会保障就业支出</w:t>
      </w:r>
      <w:r>
        <w:rPr>
          <w:rFonts w:hint="eastAsia" w:ascii="仿宋_GB2312" w:hAnsi="楷体" w:eastAsia="仿宋_GB2312"/>
          <w:kern w:val="0"/>
          <w:sz w:val="32"/>
          <w:szCs w:val="32"/>
          <w:u w:val="single"/>
        </w:rPr>
        <w:t>191.59</w:t>
      </w:r>
      <w:r>
        <w:rPr>
          <w:rFonts w:hint="eastAsia" w:ascii="仿宋_GB2312" w:hAnsi="楷体" w:eastAsia="仿宋_GB2312"/>
          <w:kern w:val="0"/>
          <w:sz w:val="32"/>
          <w:szCs w:val="32"/>
        </w:rPr>
        <w:t>万元，主要用于各项保险财补部分支出和2</w:t>
      </w:r>
      <w:r>
        <w:rPr>
          <w:rFonts w:ascii="仿宋_GB2312" w:hAnsi="楷体" w:eastAsia="仿宋_GB2312"/>
          <w:kern w:val="0"/>
          <w:sz w:val="32"/>
          <w:szCs w:val="32"/>
        </w:rPr>
        <w:t>018</w:t>
      </w:r>
      <w:r>
        <w:rPr>
          <w:rFonts w:hint="eastAsia" w:ascii="仿宋_GB2312" w:hAnsi="楷体" w:eastAsia="仿宋_GB2312"/>
          <w:kern w:val="0"/>
          <w:sz w:val="32"/>
          <w:szCs w:val="32"/>
        </w:rPr>
        <w:t>年-</w:t>
      </w:r>
      <w:r>
        <w:rPr>
          <w:rFonts w:ascii="仿宋_GB2312" w:hAnsi="楷体" w:eastAsia="仿宋_GB2312"/>
          <w:kern w:val="0"/>
          <w:sz w:val="32"/>
          <w:szCs w:val="32"/>
        </w:rPr>
        <w:t>2021</w:t>
      </w:r>
      <w:r>
        <w:rPr>
          <w:rFonts w:hint="eastAsia" w:ascii="仿宋_GB2312" w:hAnsi="楷体" w:eastAsia="仿宋_GB2312"/>
          <w:kern w:val="0"/>
          <w:sz w:val="32"/>
          <w:szCs w:val="32"/>
        </w:rPr>
        <w:t>年退休人员一次性补贴支出。与上年相比增加</w:t>
      </w:r>
      <w:r>
        <w:rPr>
          <w:rFonts w:hint="eastAsia" w:ascii="仿宋_GB2312" w:hAnsi="楷体" w:eastAsia="仿宋_GB2312"/>
          <w:kern w:val="0"/>
          <w:sz w:val="32"/>
          <w:szCs w:val="32"/>
          <w:u w:val="single"/>
        </w:rPr>
        <w:t>5.25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2.8</w:t>
      </w:r>
      <w:r>
        <w:rPr>
          <w:rFonts w:hint="eastAsia" w:ascii="仿宋_GB2312" w:hAnsi="楷体" w:eastAsia="仿宋_GB2312"/>
          <w:kern w:val="0"/>
          <w:sz w:val="32"/>
          <w:szCs w:val="32"/>
        </w:rPr>
        <w:t>%。主要原因是增加了退休人员一次性补贴支出。</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．卫生健康支出</w:t>
      </w:r>
      <w:r>
        <w:rPr>
          <w:rFonts w:hint="eastAsia" w:ascii="仿宋_GB2312" w:hAnsi="楷体" w:eastAsia="仿宋_GB2312"/>
          <w:kern w:val="0"/>
          <w:sz w:val="32"/>
          <w:szCs w:val="32"/>
          <w:u w:val="single"/>
        </w:rPr>
        <w:t>45.12</w:t>
      </w:r>
      <w:r>
        <w:rPr>
          <w:rFonts w:hint="eastAsia" w:ascii="仿宋_GB2312" w:hAnsi="楷体" w:eastAsia="仿宋_GB2312"/>
          <w:kern w:val="0"/>
          <w:sz w:val="32"/>
          <w:szCs w:val="32"/>
        </w:rPr>
        <w:t>万元，主要用于医疗保险财补部分支出。与上年相比减少</w:t>
      </w:r>
      <w:r>
        <w:rPr>
          <w:rFonts w:hint="eastAsia" w:ascii="仿宋_GB2312" w:hAnsi="楷体" w:eastAsia="仿宋_GB2312"/>
          <w:kern w:val="0"/>
          <w:sz w:val="32"/>
          <w:szCs w:val="32"/>
          <w:u w:val="single"/>
        </w:rPr>
        <w:t>4.38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8.8</w:t>
      </w:r>
      <w:r>
        <w:rPr>
          <w:rFonts w:hint="eastAsia" w:ascii="仿宋_GB2312" w:hAnsi="楷体" w:eastAsia="仿宋_GB2312"/>
          <w:kern w:val="0"/>
          <w:sz w:val="32"/>
          <w:szCs w:val="32"/>
        </w:rPr>
        <w:t>%。主要原因是医疗保险财补部分支出减少。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w:t>
      </w:r>
      <w:r>
        <w:rPr>
          <w:rFonts w:hint="eastAsia"/>
        </w:rPr>
        <w:t xml:space="preserve"> </w:t>
      </w:r>
      <w:r>
        <w:rPr>
          <w:rFonts w:hint="eastAsia" w:ascii="仿宋_GB2312" w:hAnsi="楷体" w:eastAsia="仿宋_GB2312"/>
          <w:kern w:val="0"/>
          <w:sz w:val="32"/>
          <w:szCs w:val="32"/>
        </w:rPr>
        <w:t>城乡社区支出</w:t>
      </w:r>
      <w:r>
        <w:rPr>
          <w:rFonts w:hint="eastAsia" w:ascii="仿宋_GB2312" w:hAnsi="楷体" w:eastAsia="仿宋_GB2312"/>
          <w:kern w:val="0"/>
          <w:sz w:val="32"/>
          <w:szCs w:val="32"/>
          <w:u w:val="single"/>
        </w:rPr>
        <w:t>42.85</w:t>
      </w:r>
      <w:r>
        <w:rPr>
          <w:rFonts w:hint="eastAsia" w:ascii="仿宋_GB2312" w:hAnsi="楷体" w:eastAsia="仿宋_GB2312"/>
          <w:kern w:val="0"/>
          <w:sz w:val="32"/>
          <w:szCs w:val="32"/>
        </w:rPr>
        <w:t>万元，主要用于学校空气源热泵取暖服务费和襄汾县2021年农村中小学幼儿园厕所改造项目。与上年相比增加</w:t>
      </w:r>
      <w:r>
        <w:rPr>
          <w:rFonts w:hint="eastAsia" w:ascii="仿宋_GB2312" w:hAnsi="楷体" w:eastAsia="仿宋_GB2312"/>
          <w:kern w:val="0"/>
          <w:sz w:val="32"/>
          <w:szCs w:val="32"/>
          <w:u w:val="single"/>
        </w:rPr>
        <w:t>42.85</w:t>
      </w:r>
      <w:r>
        <w:rPr>
          <w:rFonts w:hint="eastAsia" w:ascii="仿宋_GB2312" w:hAnsi="楷体" w:eastAsia="仿宋_GB2312"/>
          <w:kern w:val="0"/>
          <w:sz w:val="32"/>
          <w:szCs w:val="32"/>
        </w:rPr>
        <w:t>万元，增加</w:t>
      </w:r>
      <w:r>
        <w:rPr>
          <w:rFonts w:hint="eastAsia" w:ascii="仿宋_GB2312" w:hAnsi="楷体" w:eastAsia="仿宋_GB2312"/>
          <w:kern w:val="0"/>
          <w:sz w:val="32"/>
          <w:szCs w:val="32"/>
          <w:u w:val="single"/>
        </w:rPr>
        <w:t>100</w:t>
      </w:r>
      <w:r>
        <w:rPr>
          <w:rFonts w:hint="eastAsia" w:ascii="仿宋_GB2312" w:hAnsi="楷体" w:eastAsia="仿宋_GB2312"/>
          <w:kern w:val="0"/>
          <w:sz w:val="32"/>
          <w:szCs w:val="32"/>
        </w:rPr>
        <w:t>%。主要原因是今年把学校空气源热泵取暖服务费功能归类到城乡社区支出，今年增加了襄汾县2021年农村中小学幼儿园厕所改造项目。</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 住房保障支出</w:t>
      </w:r>
      <w:r>
        <w:rPr>
          <w:rFonts w:hint="eastAsia" w:ascii="仿宋_GB2312" w:hAnsi="楷体" w:eastAsia="仿宋_GB2312"/>
          <w:kern w:val="0"/>
          <w:sz w:val="32"/>
          <w:szCs w:val="32"/>
          <w:u w:val="single"/>
        </w:rPr>
        <w:t>55.</w:t>
      </w:r>
      <w:r>
        <w:rPr>
          <w:rFonts w:ascii="仿宋_GB2312" w:hAnsi="楷体" w:eastAsia="仿宋_GB2312"/>
          <w:kern w:val="0"/>
          <w:sz w:val="32"/>
          <w:szCs w:val="32"/>
          <w:u w:val="single"/>
        </w:rPr>
        <w:t>02</w:t>
      </w:r>
      <w:r>
        <w:rPr>
          <w:rFonts w:hint="eastAsia" w:ascii="仿宋_GB2312" w:hAnsi="楷体" w:eastAsia="仿宋_GB2312"/>
          <w:kern w:val="0"/>
          <w:sz w:val="32"/>
          <w:szCs w:val="32"/>
        </w:rPr>
        <w:t>万元，主要用于住房公积金财补部分支出。与上年相比减少</w:t>
      </w:r>
      <w:r>
        <w:rPr>
          <w:rFonts w:hint="eastAsia" w:ascii="仿宋_GB2312" w:hAnsi="楷体" w:eastAsia="仿宋_GB2312"/>
          <w:kern w:val="0"/>
          <w:sz w:val="32"/>
          <w:szCs w:val="32"/>
          <w:u w:val="single"/>
        </w:rPr>
        <w:t>2.59</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4.5</w:t>
      </w:r>
      <w:r>
        <w:rPr>
          <w:rFonts w:hint="eastAsia" w:ascii="仿宋_GB2312" w:hAnsi="楷体" w:eastAsia="仿宋_GB2312"/>
          <w:kern w:val="0"/>
          <w:sz w:val="32"/>
          <w:szCs w:val="32"/>
        </w:rPr>
        <w:t>%。主要原因是住房公积金财补部分支出减少。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6.基本支出预算数</w:t>
      </w:r>
      <w:r>
        <w:rPr>
          <w:rFonts w:hint="eastAsia" w:ascii="仿宋_GB2312" w:hAnsi="楷体" w:eastAsia="仿宋_GB2312"/>
          <w:kern w:val="0"/>
          <w:sz w:val="32"/>
          <w:szCs w:val="32"/>
          <w:u w:val="single"/>
        </w:rPr>
        <w:t>995.19</w:t>
      </w:r>
      <w:r>
        <w:rPr>
          <w:rFonts w:hint="eastAsia" w:ascii="仿宋_GB2312" w:hAnsi="楷体" w:eastAsia="仿宋_GB2312"/>
          <w:kern w:val="0"/>
          <w:sz w:val="32"/>
          <w:szCs w:val="32"/>
        </w:rPr>
        <w:t xml:space="preserve"> 万元。与上年相比减少52.5万元，减少5%。主要原因是人员减少。项目支出预算数为248.53万元。与上年相比减少10.94万元，减少4.2%。主要原因是2021年包括提前下达的专项资金，本年年初预算不包含。</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襄汾县大邓乡联合学校本年收入预算合计</w:t>
      </w:r>
      <w:r>
        <w:rPr>
          <w:rFonts w:hint="eastAsia" w:ascii="仿宋_GB2312" w:hAnsi="楷体" w:eastAsia="仿宋_GB2312"/>
          <w:kern w:val="0"/>
          <w:sz w:val="32"/>
          <w:szCs w:val="32"/>
          <w:u w:val="single"/>
        </w:rPr>
        <w:t>1243.72</w:t>
      </w:r>
      <w:r>
        <w:rPr>
          <w:rFonts w:hint="eastAsia" w:ascii="仿宋_GB2312" w:hAnsi="楷体" w:eastAsia="仿宋_GB2312"/>
          <w:kern w:val="0"/>
          <w:sz w:val="32"/>
          <w:szCs w:val="32"/>
        </w:rPr>
        <w:t>万元，其中：一般公共预算收入1</w:t>
      </w:r>
      <w:r>
        <w:rPr>
          <w:rFonts w:hint="eastAsia" w:ascii="仿宋_GB2312" w:hAnsi="楷体" w:eastAsia="仿宋_GB2312"/>
          <w:kern w:val="0"/>
          <w:sz w:val="32"/>
          <w:szCs w:val="32"/>
          <w:u w:val="single"/>
        </w:rPr>
        <w:t>200.88</w:t>
      </w:r>
      <w:r>
        <w:rPr>
          <w:rFonts w:hint="eastAsia" w:ascii="仿宋_GB2312" w:hAnsi="楷体" w:eastAsia="仿宋_GB2312"/>
          <w:kern w:val="0"/>
          <w:sz w:val="32"/>
          <w:szCs w:val="32"/>
        </w:rPr>
        <w:t>万元，占</w:t>
      </w:r>
      <w:r>
        <w:rPr>
          <w:rFonts w:ascii="仿宋_GB2312" w:hAnsi="楷体" w:eastAsia="仿宋_GB2312"/>
          <w:kern w:val="0"/>
          <w:sz w:val="32"/>
          <w:szCs w:val="32"/>
          <w:u w:val="single"/>
        </w:rPr>
        <w:t>9</w:t>
      </w:r>
      <w:r>
        <w:rPr>
          <w:rFonts w:hint="eastAsia" w:ascii="仿宋_GB2312" w:hAnsi="楷体" w:eastAsia="仿宋_GB2312"/>
          <w:kern w:val="0"/>
          <w:sz w:val="32"/>
          <w:szCs w:val="32"/>
          <w:u w:val="single"/>
        </w:rPr>
        <w:t>6.6</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42.85</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3.4</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襄汾县大邓乡联合学校本年支出预算合计</w:t>
      </w:r>
      <w:r>
        <w:rPr>
          <w:rFonts w:hint="eastAsia" w:ascii="仿宋_GB2312" w:hAnsi="楷体" w:eastAsia="仿宋_GB2312"/>
          <w:kern w:val="0"/>
          <w:sz w:val="32"/>
          <w:szCs w:val="32"/>
          <w:u w:val="single"/>
        </w:rPr>
        <w:t>1243.72</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rPr>
        <w:t>995.19</w:t>
      </w:r>
      <w:r>
        <w:rPr>
          <w:rFonts w:ascii="仿宋_GB2312" w:hAnsi="楷体" w:eastAsia="仿宋_GB2312"/>
          <w:kern w:val="0"/>
          <w:sz w:val="32"/>
          <w:szCs w:val="32"/>
        </w:rPr>
        <w:t xml:space="preserve"> </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80</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248.53</w:t>
      </w:r>
      <w:r>
        <w:rPr>
          <w:rFonts w:hint="eastAsia" w:ascii="仿宋_GB2312" w:hAnsi="楷体" w:eastAsia="仿宋_GB2312"/>
          <w:kern w:val="0"/>
          <w:sz w:val="32"/>
          <w:szCs w:val="32"/>
        </w:rPr>
        <w:t>万元，占</w:t>
      </w:r>
      <w:r>
        <w:rPr>
          <w:rFonts w:ascii="仿宋_GB2312" w:hAnsi="楷体" w:eastAsia="仿宋_GB2312"/>
          <w:kern w:val="0"/>
          <w:sz w:val="32"/>
          <w:szCs w:val="32"/>
          <w:u w:val="single"/>
        </w:rPr>
        <w:t>2</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襄汾县大邓乡联合学校2022年度财政拨款收、支总预算</w:t>
      </w:r>
      <w:r>
        <w:rPr>
          <w:rFonts w:hint="eastAsia" w:ascii="仿宋_GB2312" w:hAnsi="楷体" w:eastAsia="仿宋_GB2312"/>
          <w:kern w:val="0"/>
          <w:sz w:val="32"/>
          <w:szCs w:val="32"/>
          <w:u w:val="single"/>
        </w:rPr>
        <w:t>1243.72</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63.52</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4.9</w:t>
      </w:r>
      <w:r>
        <w:rPr>
          <w:rFonts w:ascii="仿宋_GB2312" w:hAnsi="楷体" w:eastAsia="仿宋_GB2312"/>
          <w:kern w:val="0"/>
          <w:sz w:val="32"/>
          <w:szCs w:val="32"/>
        </w:rPr>
        <w:t>%</w:t>
      </w:r>
      <w:r>
        <w:rPr>
          <w:rFonts w:hint="eastAsia" w:ascii="仿宋_GB2312" w:hAnsi="楷体" w:eastAsia="仿宋_GB2312"/>
          <w:kern w:val="0"/>
          <w:sz w:val="32"/>
          <w:szCs w:val="32"/>
        </w:rPr>
        <w:t>。主要原因是2021年人员减少。</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襄汾县大邓乡联合学校2022年一般公共预算支出预算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1</w:t>
      </w:r>
      <w:r>
        <w:rPr>
          <w:rFonts w:hint="eastAsia" w:ascii="仿宋_GB2312" w:hAnsi="楷体" w:eastAsia="仿宋_GB2312"/>
          <w:kern w:val="0"/>
          <w:sz w:val="32"/>
          <w:szCs w:val="32"/>
          <w:u w:val="single"/>
        </w:rPr>
        <w:t>200.88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106.36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8.1 </w:t>
      </w:r>
      <w:r>
        <w:rPr>
          <w:rFonts w:ascii="仿宋_GB2312" w:hAnsi="楷体" w:eastAsia="仿宋_GB2312"/>
          <w:kern w:val="0"/>
          <w:sz w:val="32"/>
          <w:szCs w:val="32"/>
        </w:rPr>
        <w:t>%</w:t>
      </w:r>
      <w:r>
        <w:rPr>
          <w:rFonts w:hint="eastAsia" w:ascii="仿宋_GB2312" w:hAnsi="楷体" w:eastAsia="仿宋_GB2312"/>
          <w:kern w:val="0"/>
          <w:sz w:val="32"/>
          <w:szCs w:val="32"/>
        </w:rPr>
        <w:t>。主要原因是2021年人员减少。</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襄汾县大邓乡联合学校2022年度一般公共预算基本支出预算</w:t>
      </w:r>
      <w:r>
        <w:rPr>
          <w:rFonts w:hint="eastAsia" w:ascii="仿宋_GB2312" w:hAnsi="楷体" w:eastAsia="仿宋_GB2312"/>
          <w:kern w:val="0"/>
          <w:sz w:val="32"/>
          <w:szCs w:val="32"/>
          <w:u w:val="single"/>
        </w:rPr>
        <w:t>995.19</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995.19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378.98</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134.12</w:t>
      </w:r>
      <w:r>
        <w:rPr>
          <w:rFonts w:hint="eastAsia" w:ascii="仿宋_GB2312" w:hAnsi="楷体" w:eastAsia="仿宋_GB2312"/>
          <w:kern w:val="0"/>
          <w:sz w:val="32"/>
          <w:szCs w:val="32"/>
        </w:rPr>
        <w:t>万元、奖金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single"/>
        </w:rPr>
        <w:t>224.54</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single"/>
        </w:rPr>
        <w:t>148.27</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55.02</w:t>
      </w:r>
      <w:r>
        <w:rPr>
          <w:rFonts w:hint="eastAsia" w:ascii="仿宋_GB2312" w:hAnsi="楷体" w:eastAsia="仿宋_GB2312"/>
          <w:kern w:val="0"/>
          <w:sz w:val="32"/>
          <w:szCs w:val="32"/>
        </w:rPr>
        <w:t>万元、离休费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47.38</w:t>
      </w:r>
      <w:r>
        <w:rPr>
          <w:rFonts w:hint="eastAsia" w:ascii="仿宋_GB2312" w:hAnsi="楷体" w:eastAsia="仿宋_GB2312"/>
          <w:kern w:val="0"/>
          <w:sz w:val="32"/>
          <w:szCs w:val="32"/>
        </w:rPr>
        <w:t>万元、生活补助</w:t>
      </w:r>
      <w:r>
        <w:rPr>
          <w:rFonts w:hint="eastAsia" w:ascii="仿宋_GB2312" w:hAnsi="楷体" w:eastAsia="仿宋_GB2312"/>
          <w:kern w:val="0"/>
          <w:sz w:val="32"/>
          <w:szCs w:val="32"/>
          <w:u w:val="single"/>
        </w:rPr>
        <w:t>6.83</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0.06</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襄汾县大邓乡联合学校2022年政府性基金支出预算支出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42.85</w:t>
      </w:r>
      <w:r>
        <w:rPr>
          <w:rFonts w:hint="eastAsia" w:ascii="仿宋_GB2312" w:hAnsi="楷体" w:eastAsia="仿宋_GB2312"/>
          <w:kern w:val="0"/>
          <w:sz w:val="32"/>
          <w:szCs w:val="32"/>
        </w:rPr>
        <w:t>万元。与上年相比增加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42.85</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100</w:t>
      </w:r>
      <w:r>
        <w:rPr>
          <w:rFonts w:ascii="仿宋_GB2312" w:hAnsi="楷体" w:eastAsia="仿宋_GB2312"/>
          <w:kern w:val="0"/>
          <w:sz w:val="32"/>
          <w:szCs w:val="32"/>
        </w:rPr>
        <w:t>%</w:t>
      </w:r>
      <w:r>
        <w:rPr>
          <w:rFonts w:hint="eastAsia" w:ascii="仿宋_GB2312" w:hAnsi="楷体" w:eastAsia="仿宋_GB2312"/>
          <w:kern w:val="0"/>
          <w:sz w:val="32"/>
          <w:szCs w:val="32"/>
        </w:rPr>
        <w:t>。主要原因是2022年安排的学校空气源热泵取暖服务费5.30万元和襄汾县2021年农村中小学幼儿园厕所改造项目37.55万元，合计42.85万元，比上年增加42.85万元。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襄汾县大邓乡联合学校2022年度一般公共预算拨款安排的“三公”经费预算支出中，因公出国（境）费支出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2022年本单位一般公共预算机关运行经费预算支出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hint="eastAsia" w:ascii="仿宋_GB2312" w:hAnsi="楷体" w:eastAsia="仿宋_GB2312"/>
          <w:kern w:val="0"/>
          <w:sz w:val="32"/>
          <w:szCs w:val="32"/>
          <w:u w:val="single"/>
        </w:rPr>
        <w:t>12.86</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rPr>
        <w:t>0.36</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12.5</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2022年度，本单位单位共</w:t>
      </w:r>
      <w:r>
        <w:rPr>
          <w:rFonts w:hint="eastAsia" w:ascii="仿宋_GB2312" w:hAnsi="楷体" w:eastAsia="仿宋_GB2312"/>
          <w:kern w:val="0"/>
          <w:sz w:val="32"/>
          <w:szCs w:val="32"/>
          <w:u w:val="single"/>
        </w:rPr>
        <w:t xml:space="preserve">   21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248.53</w:t>
      </w:r>
      <w:r>
        <w:rPr>
          <w:rFonts w:hint="eastAsia" w:ascii="仿宋_GB2312" w:hAnsi="楷体" w:eastAsia="仿宋_GB2312"/>
          <w:kern w:val="0"/>
          <w:sz w:val="32"/>
          <w:szCs w:val="32"/>
        </w:rPr>
        <w:t>万元；本单位单位整体支出（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纳入、□未纳入）绩效目标管理，涉及财政性资金1</w:t>
      </w:r>
      <w:r>
        <w:rPr>
          <w:rFonts w:hint="eastAsia" w:ascii="仿宋_GB2312" w:hAnsi="楷体" w:eastAsia="仿宋_GB2312"/>
          <w:kern w:val="0"/>
          <w:sz w:val="32"/>
          <w:szCs w:val="32"/>
          <w:u w:val="single"/>
        </w:rPr>
        <w:t xml:space="preserve">200.88 </w:t>
      </w:r>
      <w:r>
        <w:rPr>
          <w:rFonts w:hint="eastAsia" w:ascii="仿宋_GB2312" w:hAnsi="楷体" w:eastAsia="仿宋_GB2312"/>
          <w:kern w:val="0"/>
          <w:sz w:val="32"/>
          <w:szCs w:val="32"/>
        </w:rPr>
        <w:t>万元。</w:t>
      </w:r>
    </w:p>
    <w:p>
      <w:pPr>
        <w:widowControl/>
        <w:numPr>
          <w:ilvl w:val="0"/>
          <w:numId w:val="2"/>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left="420" w:leftChars="200"/>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numPr>
          <w:ilvl w:val="0"/>
          <w:numId w:val="3"/>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上年一般债券项目建设进度、运营情况等；</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left="3518" w:leftChars="456" w:hanging="2560" w:hangingChars="800"/>
        <w:rPr>
          <w:rFonts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（2）上年专项债券对应项目建设进度、运营情况等；无</w:t>
      </w:r>
    </w:p>
    <w:p>
      <w:pPr>
        <w:widowControl/>
        <w:spacing w:line="560" w:lineRule="exact"/>
        <w:ind w:left="4478" w:leftChars="456" w:hanging="3520" w:hangingChars="1100"/>
        <w:rPr>
          <w:rFonts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w:t>
      </w:r>
    </w:p>
    <w:p>
      <w:pPr>
        <w:widowControl/>
        <w:spacing w:line="560" w:lineRule="exact"/>
        <w:ind w:left="4471" w:leftChars="1672" w:hanging="960" w:hangingChars="3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黑体" w:eastAsia="仿宋_GB2312"/>
          <w:b/>
          <w:spacing w:val="-16"/>
          <w:kern w:val="0"/>
          <w:sz w:val="32"/>
          <w:szCs w:val="32"/>
        </w:rPr>
      </w:pP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其他</w:t>
      </w:r>
    </w:p>
    <w:p>
      <w:pPr>
        <w:widowControl/>
        <w:spacing w:line="560" w:lineRule="exact"/>
        <w:ind w:firstLine="3520" w:firstLineChars="11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spacing w:line="560" w:lineRule="exact"/>
        <w:ind w:firstLine="636"/>
        <w:rPr>
          <w:rFonts w:ascii="仿宋_GB2312" w:hAnsi="仿宋" w:eastAsia="仿宋_GB2312"/>
          <w:kern w:val="0"/>
          <w:sz w:val="32"/>
          <w:szCs w:val="32"/>
        </w:rPr>
      </w:pP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4DBE6"/>
    <w:multiLevelType w:val="singleLevel"/>
    <w:tmpl w:val="9684DBE6"/>
    <w:lvl w:ilvl="0" w:tentative="0">
      <w:start w:val="2"/>
      <w:numFmt w:val="decimal"/>
      <w:suff w:val="nothing"/>
      <w:lvlText w:val="（%1）"/>
      <w:lvlJc w:val="left"/>
    </w:lvl>
  </w:abstractNum>
  <w:abstractNum w:abstractNumId="1">
    <w:nsid w:val="A25E4843"/>
    <w:multiLevelType w:val="singleLevel"/>
    <w:tmpl w:val="A25E4843"/>
    <w:lvl w:ilvl="0" w:tentative="0">
      <w:start w:val="12"/>
      <w:numFmt w:val="chineseCounting"/>
      <w:suff w:val="nothing"/>
      <w:lvlText w:val="%1、"/>
      <w:lvlJc w:val="left"/>
      <w:rPr>
        <w:rFonts w:hint="eastAsia"/>
      </w:rPr>
    </w:lvl>
  </w:abstractNum>
  <w:abstractNum w:abstractNumId="2">
    <w:nsid w:val="A8BEC880"/>
    <w:multiLevelType w:val="singleLevel"/>
    <w:tmpl w:val="A8BEC880"/>
    <w:lvl w:ilvl="0" w:tentative="0">
      <w:start w:val="2"/>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6C"/>
    <w:rsid w:val="002040B1"/>
    <w:rsid w:val="00314382"/>
    <w:rsid w:val="006456AD"/>
    <w:rsid w:val="00820FCE"/>
    <w:rsid w:val="0095116C"/>
    <w:rsid w:val="00B83C0E"/>
    <w:rsid w:val="00EF1C6F"/>
    <w:rsid w:val="01607A86"/>
    <w:rsid w:val="01E2763B"/>
    <w:rsid w:val="01E32778"/>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0FFD4AFB"/>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91167D"/>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54B2499"/>
    <w:rsid w:val="26267710"/>
    <w:rsid w:val="26D73A12"/>
    <w:rsid w:val="26D867DF"/>
    <w:rsid w:val="275561AD"/>
    <w:rsid w:val="275B5730"/>
    <w:rsid w:val="28B179A0"/>
    <w:rsid w:val="297F60F4"/>
    <w:rsid w:val="29C54245"/>
    <w:rsid w:val="29E745D6"/>
    <w:rsid w:val="2A0C4B1E"/>
    <w:rsid w:val="2A997794"/>
    <w:rsid w:val="2AA80908"/>
    <w:rsid w:val="2B4A170A"/>
    <w:rsid w:val="2BD838F6"/>
    <w:rsid w:val="2C292926"/>
    <w:rsid w:val="2D282446"/>
    <w:rsid w:val="2DFF008B"/>
    <w:rsid w:val="2E08317D"/>
    <w:rsid w:val="2E4538B8"/>
    <w:rsid w:val="30B46CA3"/>
    <w:rsid w:val="3108141F"/>
    <w:rsid w:val="316856A6"/>
    <w:rsid w:val="31CA3EE9"/>
    <w:rsid w:val="32103D80"/>
    <w:rsid w:val="32673A99"/>
    <w:rsid w:val="32CE2438"/>
    <w:rsid w:val="33B72E06"/>
    <w:rsid w:val="34732E94"/>
    <w:rsid w:val="348D0B16"/>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4D4878"/>
    <w:rsid w:val="47EE3BCE"/>
    <w:rsid w:val="48882984"/>
    <w:rsid w:val="49FF0CFB"/>
    <w:rsid w:val="4A4F182E"/>
    <w:rsid w:val="4B517DBB"/>
    <w:rsid w:val="4BEC58E9"/>
    <w:rsid w:val="4BF3571C"/>
    <w:rsid w:val="4CB45D69"/>
    <w:rsid w:val="4CCC2331"/>
    <w:rsid w:val="4D6954BF"/>
    <w:rsid w:val="4D6E657C"/>
    <w:rsid w:val="4F720264"/>
    <w:rsid w:val="4FDC264E"/>
    <w:rsid w:val="50BC7B39"/>
    <w:rsid w:val="527C3191"/>
    <w:rsid w:val="53DD6BA8"/>
    <w:rsid w:val="53F21A3F"/>
    <w:rsid w:val="55B2288E"/>
    <w:rsid w:val="55CB4852"/>
    <w:rsid w:val="56325F7A"/>
    <w:rsid w:val="568E078F"/>
    <w:rsid w:val="579E20B3"/>
    <w:rsid w:val="57E38200"/>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3901BB"/>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847D26"/>
    <w:rsid w:val="7DAF3E53"/>
    <w:rsid w:val="7DD51D8B"/>
    <w:rsid w:val="7E2E3893"/>
    <w:rsid w:val="7E6B6F8A"/>
    <w:rsid w:val="7F8247FF"/>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647</Words>
  <Characters>3692</Characters>
  <Lines>30</Lines>
  <Paragraphs>8</Paragraphs>
  <TotalTime>7</TotalTime>
  <ScaleCrop>false</ScaleCrop>
  <LinksUpToDate>false</LinksUpToDate>
  <CharactersWithSpaces>4331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2022-05-26T10:15:42Z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