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bookmarkStart w:id="0" w:name="_GoBack"/>
      <w:bookmarkEnd w:id="0"/>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商务局</w:t>
      </w: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县商务局贯彻落实党中央、省委、市委、县委关于商务工作、促进外来投资工作的各项方针政策和决策部署，在履行职责过程中坚持和加强党对商务工作、促进外来投资工作的集中统一领导。主要职责是：</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贯彻执行国家、省、市国内外贸易和国际经济合作的发展战略、方针、政策。起草我县国内外贸易、对外援助、对外投资和对外经济合作的措施和实施办法。研究经济全球化、区域经济合作、现代流通方式的发展趋势和流通体制改革并提出建议。</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二）负责推进流通产业结构调整。指导流通企业改革、商贸服务业和社区商业发展。提出促进商贸企业发展的政策建议。推动流通标准化和连锁经营、商业特许经营、物流配送、电子商务等现代流通方式的发展。</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三）拟定全县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（四）拟定规范市场运行、流通秩序的措施和方案。推动商务领域信用建设。指导商业信用销售。建立市场诚信公共服务平台。按有关规定对特殊流通行业进行监督管理。</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（五）监测分析市场运行、商品供求状况。调查分析商品价格信息，进行预测预警和信息引导。按有关规定对成品油流通进行监督管理。</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六）贯彻执行国家进出口商品、加工贸易管理办法和进出口管理商品、技术目录。拟定促进外贸增长方式转变的措施。组织实施重要工业品、原材料和重要农产品进出口总量计划。会同有关部门协调大宗进出口商品，指导贸易促进活动和外贸促进体系建设。</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（七）贯彻执行国家、省对外技术贸易、出口管制以及鼓励技术和成套设备进出口的贸易政策。推进进出口贸易标准化工作。依法监督技术引进、设备进口、国家限制出口技术的工作。负责与防扩散相关的工作。</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（八）牵头拟定服务贸易发展规划并开展相关工作。会同有关部门制定促进服务出口和服务外包发展的规划、政策并组织实施，推动服务外包平台建设。</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九）贯彻执行国别（地区）外经贸政策以及多边、双边经济合作政策，协助处理国别（地区）经贸关系中的重要事务，管理同未建交国家的经贸活动，牵头承担我县在世界贸易组织框架下的谈判和贸易政策审议、争端解决、通报咨询等工作，负责对外经济贸易协调工作。</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十）承担组织协调反倾销、反补贴、保障措施及其他与进出口公平贸易相关工作的责任。建立进出口公平贸易预警机制。依法实施对外贸易调查和产业损害调查。指导协调产业安全应对工作与涉及我县出口商品的反倾销、反补贴、保障措施的应诉工作。</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十一）负责对外经济合作工作。拟定对外经济合作规划并组织实施。依法管理和监督对外承包工程、对外劳务合作项目等。拟定我县人员出境就业管理办法并组织实施。负责牵头外派劳务和境外就业人员的权益保护工作。拟定境外投资的管理办法和具体政策。依法核准我县企业对外投资开办企业（地方金融类企业除外）。</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十二）负责我县对外援助工作。贯彻执行国家对外援助政策和方案。管理具有政府对外援助性质资金的使用。管理多双边对我县的无偿援助和赠款（不含财政合作项下外国政府及国际金融组织的赠款）等发展合作业务。</w:t>
      </w:r>
    </w:p>
    <w:p>
      <w:pPr>
        <w:spacing w:line="600" w:lineRule="exac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十三）贯彻执行对香港、澳门特别行政区和台湾地区的经贸规划、政策，与香港、澳门特别行政区有关部门和台湾地区授权机构进行经贸磋商并签署有关文件，负责香港、澳门特别行政区商贸联络机制工作，组织实施对台直接通商工作，处理多双边经贸领域的涉台问题。</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（十四）负责全县驻境外商务机构的队伍建设、人员选派和管理工作。联系国际多边经贸组织驻襄机构和外国驻襄官方商务机构。</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（十五）参与拟定运用电子商务开拓国内市场的相关政策、措施。推动电子商务服务体系建设。参与拟定商务领域电子商务相关标准和规则。建立完善我县商务信息公共服务体系。</w:t>
      </w:r>
      <w:r>
        <w:rPr>
          <w:rFonts w:hint="eastAsia" w:ascii="仿宋_GB2312" w:hAnsi="仿宋" w:eastAsia="仿宋_GB2312" w:cs="仿宋"/>
          <w:bCs/>
          <w:color w:val="000000"/>
          <w:sz w:val="32"/>
          <w:szCs w:val="32"/>
        </w:rPr>
        <w:t>负责搭建网络化促进投资平台，做好襄汾县促进外来投资门户网站和全省招商引资电子督办系统我县签约项目录入、跟踪等工作。负责招商引资项目库、专家库、顾问团的建设和管理。</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十六）指导经济技术开发区的有关工作。牵头拟定全县经济开发区总体发展规划。提出重大体制改革创新的政策建议。研究拟订开发区整合、改制、设立、升级、扩区和考核等各项重要管理制度。具体指导推动开发区整合改制扩区调规和转型升级创新发展工作。组织对开发区建设和发展情况的年度综合考核。综合协调和指导经济开发区招商引资、信息咨询、业务培训和统计分析等工作。</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（十七）贯彻执行国家、省、市有关对外开放、促进外来投资的法律、法规、政策和发展战略，负责拟定全县招商引资的相关政策和产业规划，全方位推进招商引资、对外合作和投资促进工作。</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十八）指导全县促进外来投资工作。编制全县促进外来投资年度计划，拟定和分解全县招商引资任务。负责全县招商引资、对外合作、促进外来投资工作的统计、监测、督查、考核、通报、信息发布和政策宣介工作，提出促进外来投资工作的奖励建议。</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（十九）负责全县重点投资领域招商项目的征集、策划、包装、推介发布和签约工作</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负责县级重大招商引资项目落地、开工、建设、投产的全程跟踪、服务和督导</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协调解决属于县级层面事权的问题</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协调、指导投资商投诉受理工作</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受理投资商投诉事项。</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（二十）组织开展对国内外宏观经济政策和产业发展战略的研究</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分析对襄汾经济发展的影响及潜在投资者的发展规划、投资方向</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分析研判区域经济发展和区域合作趋势</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收集、分析、研究国内外区域经济发展与合作动态</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提出招商引资、区域合作和优化营商环境的政策建议。</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（二十一）负责组织全县重大招商引资、投资促进活动及投资洽谈会、博览会、研讨会等活动</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负责组织参加国际国内及我省举办的大型投资洽谈会、博览会、研讨会等活动</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推进以“购买服务”等方式组织和参加投资洽谈相关活动。</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（二十二）承办国</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境</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内外政府和企业经贸代表团及国内外投资客商来襄考察访问</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以及我县政府和企业经贸代表团赴国</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境</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内外考察访问的组织联络、对接洽谈工作。</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（二十三）负责推进落实以县政府名义与高等院校、企业等之间签署的相关合作协议和备忘录</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以及与境外有关组织或机构签署的经贸合作协议和备忘录</w:t>
      </w:r>
      <w:r>
        <w:rPr>
          <w:rFonts w:ascii="仿宋_GB2312" w:hAnsi="仿宋" w:eastAsia="仿宋_GB2312" w:cs="仿宋"/>
          <w:bCs/>
          <w:color w:val="000000"/>
          <w:sz w:val="32"/>
          <w:szCs w:val="32"/>
        </w:rPr>
        <w:t>;</w:t>
      </w:r>
      <w:r>
        <w:rPr>
          <w:rFonts w:hint="eastAsia" w:ascii="仿宋_GB2312" w:hAnsi="仿宋" w:eastAsia="仿宋_GB2312" w:cs="仿宋"/>
          <w:bCs/>
          <w:color w:val="000000"/>
          <w:sz w:val="32"/>
          <w:szCs w:val="32"/>
        </w:rPr>
        <w:t>负责区域经济合作的推进落实。</w:t>
      </w:r>
    </w:p>
    <w:p>
      <w:pPr>
        <w:spacing w:line="600" w:lineRule="exact"/>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二十四）做好我县外商投资企业设立及其变更等事项的服务指导工作，依法审报重大外商投资项目的合同章程及法律特别规定的重大变更事项，依法监督检查外商投资企业执行有关法律法规规章、合同章程的情况并协调解决有关问题。承担全县外商投资统计工作。</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（二十五）完成县委、县人民政府交办的其他任务。</w:t>
      </w:r>
    </w:p>
    <w:p>
      <w:pPr>
        <w:widowControl/>
        <w:numPr>
          <w:ilvl w:val="0"/>
          <w:numId w:val="0"/>
        </w:num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（二十六）有关职责分工。</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numPr>
          <w:ilvl w:val="0"/>
          <w:numId w:val="2"/>
        </w:numPr>
        <w:spacing w:line="60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根据部门职责分工，本部门内设机构包括办公室（综合股）、商务股（行政审批股）</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（三）促进外来投资股（招商股）</w:t>
      </w:r>
    </w:p>
    <w:p>
      <w:pPr>
        <w:numPr>
          <w:ilvl w:val="0"/>
          <w:numId w:val="2"/>
        </w:numPr>
        <w:spacing w:line="60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2</w:t>
      </w:r>
      <w:r>
        <w:rPr>
          <w:rFonts w:hint="eastAsia" w:ascii="仿宋_GB2312" w:hAnsi="楷体" w:eastAsia="仿宋_GB2312"/>
          <w:kern w:val="0"/>
          <w:sz w:val="32"/>
          <w:szCs w:val="32"/>
        </w:rPr>
        <w:t>家，具体包括：</w:t>
      </w:r>
      <w:r>
        <w:rPr>
          <w:rFonts w:hint="eastAsia" w:ascii="仿宋_GB2312" w:hAnsi="楷体" w:eastAsia="仿宋_GB2312"/>
          <w:kern w:val="0"/>
          <w:sz w:val="32"/>
          <w:szCs w:val="32"/>
          <w:lang w:val="en-US" w:eastAsia="zh-CN"/>
        </w:rPr>
        <w:t>商务</w:t>
      </w:r>
      <w:r>
        <w:rPr>
          <w:rFonts w:hint="eastAsia" w:ascii="仿宋_GB2312" w:hAnsi="楷体" w:eastAsia="仿宋_GB2312"/>
          <w:kern w:val="0"/>
          <w:sz w:val="32"/>
          <w:szCs w:val="32"/>
          <w:lang w:eastAsia="zh-CN"/>
        </w:rPr>
        <w:t>局</w:t>
      </w:r>
      <w:r>
        <w:rPr>
          <w:rFonts w:hint="eastAsia" w:ascii="仿宋_GB2312" w:hAnsi="楷体" w:eastAsia="仿宋_GB2312"/>
          <w:kern w:val="0"/>
          <w:sz w:val="32"/>
          <w:szCs w:val="32"/>
        </w:rPr>
        <w:t>本级、</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招商投资服务中心</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商务工作将对标省第十二次党代会、市第五次党代会和县第十四次党代会部署要求，坚持问题导向，把握发展机遇，紧盯发展目标，强化工作举措，全力攻坚克难，努力争先创优，千方百计巩固好商务经济发展良好势头。</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（一）商务工作</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 w:hAnsi="仿宋" w:eastAsia="仿宋" w:cs="仿宋"/>
          <w:b/>
          <w:bCs/>
          <w:sz w:val="32"/>
          <w:szCs w:val="32"/>
          <w:lang w:val="en-US" w:eastAsia="zh-CN"/>
        </w:rPr>
        <w:t>1.全面完成社零指标任务。</w:t>
      </w:r>
      <w:r>
        <w:rPr>
          <w:rFonts w:hint="eastAsia" w:ascii="仿宋_GB2312" w:hAnsi="Times New Roman" w:eastAsia="仿宋_GB2312" w:cs="Times New Roman"/>
          <w:sz w:val="32"/>
          <w:szCs w:val="32"/>
          <w:lang w:val="en-US" w:eastAsia="zh-CN"/>
        </w:rPr>
        <w:t>千方百计力争完成上级下达的社零指标任务。重点做好三方面的工作，一是及时加强沟通协调。每月定期不定期地与统计局预测、分析、研判当月指标完成情况，及时发现解决出现的问题；二是持续提高数据质量。深入商贸企业了解经营状况，加大沟通衔接，积极指导企业做好统计数据上报工作，做到准确完整、应报尽报；三是精心培育“小升限”企业。与税务局、统计局加强联系会商，及早发现销售额接近或达到入库要求的企业，着力培育发展，逐一对接核实，确保让符合条件的企业入库升限，纳入统计范围，为指标完成夯实基础。</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 w:hAnsi="仿宋" w:eastAsia="仿宋" w:cs="仿宋"/>
          <w:b/>
          <w:bCs/>
          <w:sz w:val="32"/>
          <w:szCs w:val="32"/>
          <w:lang w:val="en-US" w:eastAsia="zh-CN"/>
        </w:rPr>
        <w:t>2.狠抓安全生产工作。</w:t>
      </w:r>
      <w:r>
        <w:rPr>
          <w:rFonts w:hint="eastAsia" w:ascii="仿宋_GB2312" w:hAnsi="Times New Roman" w:eastAsia="仿宋_GB2312" w:cs="Times New Roman"/>
          <w:sz w:val="32"/>
          <w:szCs w:val="32"/>
          <w:lang w:val="en-US" w:eastAsia="zh-CN"/>
        </w:rPr>
        <w:t>认真落实上级安全生产工作有关文件精神和要求，强化工作举措，狠抓工作落实，做好重点时期安全生产工作，切实抓好行业监管和安全隐患排查整改，全力以赴抓好全县的商贸服务业安全生产工作。</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 w:hAnsi="仿宋" w:eastAsia="仿宋" w:cs="仿宋"/>
          <w:b/>
          <w:bCs/>
          <w:sz w:val="32"/>
          <w:szCs w:val="32"/>
          <w:lang w:val="en-US" w:eastAsia="zh-CN"/>
        </w:rPr>
        <w:t>3.促进商贸流通创新发展。</w:t>
      </w:r>
      <w:r>
        <w:rPr>
          <w:rFonts w:hint="eastAsia" w:ascii="仿宋_GB2312" w:hAnsi="Times New Roman" w:eastAsia="仿宋_GB2312" w:cs="Times New Roman"/>
          <w:sz w:val="32"/>
          <w:szCs w:val="32"/>
          <w:lang w:val="en-US" w:eastAsia="zh-CN"/>
        </w:rPr>
        <w:t>把商贸流通发展放在提振经济的突出位置，积极应对消费升级新特点、新趋势，进一步挖掘潜力，大力培育主业突出、具有较强竞争优势的大型商贸流通企业，扩大城市消费和服务消费，实现规模持续扩张。按照上级消费升级行动计划，积极开展“年货大集”、“购物季”、“十一黄金周”、元旦春节促消费等活动，以活动促消费，以消费促发展。充分发挥县电商协会作用，积极争取政策支持，大力发展电子商务，做好专题培训，指导开展农特产品促销活动，鼓励支持电商企业做大做强，培育消费新动能。全面推进城乡高效配送工作，培育发展物流配送中心和城乡高效配送骨干企业，降低城乡配送成本，提高城乡配送效率。</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default" w:ascii="仿宋_GB2312" w:hAnsi="Times New Roman" w:eastAsia="仿宋_GB2312" w:cs="Times New Roman"/>
          <w:sz w:val="32"/>
          <w:szCs w:val="32"/>
          <w:lang w:val="en-US" w:eastAsia="zh-CN"/>
        </w:rPr>
      </w:pPr>
      <w:r>
        <w:rPr>
          <w:rFonts w:hint="eastAsia" w:ascii="仿宋" w:hAnsi="仿宋" w:eastAsia="仿宋" w:cs="仿宋"/>
          <w:b/>
          <w:bCs/>
          <w:sz w:val="32"/>
          <w:szCs w:val="32"/>
          <w:lang w:val="en-US" w:eastAsia="zh-CN"/>
        </w:rPr>
        <w:t>4.打造丁陶风情街特色商圈。</w:t>
      </w:r>
      <w:r>
        <w:rPr>
          <w:rFonts w:hint="eastAsia" w:ascii="仿宋_GB2312" w:hAnsi="Times New Roman" w:eastAsia="仿宋_GB2312" w:cs="Times New Roman"/>
          <w:sz w:val="32"/>
          <w:szCs w:val="32"/>
          <w:lang w:val="en-US" w:eastAsia="zh-CN"/>
        </w:rPr>
        <w:t>围绕“厚重古襄汾 多彩风情街”打造襄汾县城市休闲旅游的标杆项目，提出丁陶风情街文化旅游总体规划。争取建成集观光、购物、休闲、娱乐、美食等于一体的特色风情商业街，积极建设襄汾非遗印象集中体验地。</w:t>
      </w:r>
    </w:p>
    <w:p>
      <w:pPr>
        <w:keepNext w:val="0"/>
        <w:keepLines w:val="0"/>
        <w:pageBreakBefore w:val="0"/>
        <w:widowControl w:val="0"/>
        <w:pBdr>
          <w:bottom w:val="single" w:color="FFFFFF" w:sz="4" w:space="24"/>
        </w:pBdr>
        <w:kinsoku/>
        <w:wordWrap/>
        <w:overflowPunct/>
        <w:topLinePunct w:val="0"/>
        <w:autoSpaceDE w:val="0"/>
        <w:autoSpaceDN/>
        <w:bidi w:val="0"/>
        <w:adjustRightInd w:val="0"/>
        <w:snapToGrid w:val="0"/>
        <w:spacing w:line="600" w:lineRule="exact"/>
        <w:ind w:firstLine="643" w:firstLineChars="200"/>
        <w:textAlignment w:val="auto"/>
        <w:rPr>
          <w:rFonts w:hint="eastAsia" w:ascii="仿宋_GB2312" w:hAnsi="Times New Roman" w:eastAsia="仿宋_GB2312" w:cs="Times New Roman"/>
          <w:sz w:val="32"/>
          <w:szCs w:val="32"/>
          <w:lang w:val="en-US" w:eastAsia="zh-CN"/>
        </w:rPr>
      </w:pPr>
      <w:r>
        <w:rPr>
          <w:rFonts w:hint="eastAsia" w:ascii="仿宋" w:hAnsi="仿宋" w:eastAsia="仿宋" w:cs="仿宋"/>
          <w:b/>
          <w:bCs/>
          <w:sz w:val="32"/>
          <w:szCs w:val="32"/>
          <w:lang w:val="en-US" w:eastAsia="zh-CN"/>
        </w:rPr>
        <w:t>5.做强农村电子商务。</w:t>
      </w:r>
      <w:r>
        <w:rPr>
          <w:rFonts w:hint="eastAsia" w:ascii="仿宋_GB2312" w:hAnsi="Times New Roman" w:eastAsia="仿宋_GB2312" w:cs="Times New Roman"/>
          <w:sz w:val="32"/>
          <w:szCs w:val="32"/>
          <w:lang w:val="en-US" w:eastAsia="zh-CN"/>
        </w:rPr>
        <w:t>充分利用电商平台打造社区团购，通过直播带货途径，推广我县农产品向外发展，通过网络向农村延伸，达到便民、惠农，与当地电子商务协会、供销社、邮政、农业等多部门联合，开展电子商务进农村系列培训，提升乡村群众的直播、电商等综合技能销售。积极创建本地电商公共服务中心，做好基层农民电商营销创收。</w:t>
      </w:r>
    </w:p>
    <w:p>
      <w:pPr>
        <w:widowControl/>
        <w:spacing w:line="560" w:lineRule="exact"/>
        <w:ind w:firstLine="636"/>
        <w:rPr>
          <w:rFonts w:hint="eastAsia" w:ascii="仿宋_GB2312" w:hAnsi="楷体" w:eastAsia="仿宋_GB2312"/>
          <w:kern w:val="0"/>
          <w:sz w:val="32"/>
          <w:szCs w:val="32"/>
        </w:rPr>
      </w:pPr>
      <w:r>
        <w:rPr>
          <w:rFonts w:hint="eastAsia" w:ascii="仿宋" w:hAnsi="仿宋" w:eastAsia="仿宋" w:cs="仿宋"/>
          <w:b/>
          <w:bCs/>
          <w:sz w:val="32"/>
          <w:szCs w:val="32"/>
          <w:lang w:val="en-US" w:eastAsia="zh-CN"/>
        </w:rPr>
        <w:t>6.全面做好各项综合性工作。</w:t>
      </w:r>
      <w:r>
        <w:rPr>
          <w:rFonts w:hint="eastAsia" w:ascii="仿宋_GB2312" w:hAnsi="Times New Roman" w:eastAsia="仿宋_GB2312" w:cs="Times New Roman"/>
          <w:sz w:val="32"/>
          <w:szCs w:val="32"/>
          <w:lang w:val="en-US" w:eastAsia="zh-CN"/>
        </w:rPr>
        <w:t>紧紧围绕县委、县政府安排部署，动员全局力量，主动作为，齐头并进，全力以赴做好安全工作、依法行政、安全环保、脱贫攻坚、扫黑除恶、防范化解重大风险、“三零”单位创建、疫情防控、油品管控、商贸业务等综合性工作。发挥部门综合协调作用，持续开展成品油专项整治专项行动，形成持续打击取缔的高压态势和浓厚氛围，推动全县成品油市场秩序持续好转，为服务全县经济建设提供可靠保障。</w:t>
      </w:r>
    </w:p>
    <w:p>
      <w:pPr>
        <w:widowControl/>
        <w:numPr>
          <w:ilvl w:val="0"/>
          <w:numId w:val="0"/>
        </w:numPr>
        <w:spacing w:line="560" w:lineRule="exact"/>
        <w:rPr>
          <w:rFonts w:hint="eastAsia" w:ascii="仿宋_GB2312" w:hAnsi="楷体" w:eastAsia="仿宋_GB2312"/>
          <w:kern w:val="0"/>
          <w:sz w:val="32"/>
          <w:szCs w:val="32"/>
        </w:rPr>
      </w:pPr>
    </w:p>
    <w:p>
      <w:pPr>
        <w:widowControl/>
        <w:spacing w:line="560" w:lineRule="exact"/>
        <w:ind w:firstLine="636"/>
        <w:rPr>
          <w:rFonts w:hint="eastAsia" w:ascii="仿宋_GB2312" w:hAnsi="楷体" w:eastAsia="仿宋_GB2312"/>
          <w:kern w:val="0"/>
          <w:sz w:val="32"/>
          <w:szCs w:val="32"/>
        </w:rPr>
      </w:pP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襄汾县商务</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hint="eastAsia" w:ascii="仿宋_GB2312" w:hAnsi="楷体" w:eastAsia="仿宋_GB2312"/>
          <w:kern w:val="0"/>
          <w:sz w:val="32"/>
          <w:szCs w:val="32"/>
          <w:lang w:val="en-US" w:eastAsia="zh-CN"/>
        </w:rPr>
        <w:t>46.27</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36.79</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w:t>
      </w:r>
      <w:r>
        <w:rPr>
          <w:rFonts w:hint="eastAsia" w:ascii="仿宋_GB2312" w:hAnsi="楷体" w:eastAsia="仿宋_GB2312"/>
          <w:kern w:val="0"/>
          <w:sz w:val="32"/>
          <w:szCs w:val="32"/>
          <w:lang w:val="en-US" w:eastAsia="zh-CN"/>
        </w:rPr>
        <w:t>社会保障和就业支出4.66</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3. 卫生和健康支出2.05万元。</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4. 住房和保障支出2.77万元。</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lang w:val="en-US" w:eastAsia="zh-CN"/>
        </w:rPr>
        <w:t>5</w:t>
      </w:r>
      <w:r>
        <w:rPr>
          <w:rFonts w:hint="eastAsia" w:ascii="仿宋_GB2312" w:hAnsi="楷体" w:eastAsia="仿宋_GB2312"/>
          <w:kern w:val="0"/>
          <w:sz w:val="32"/>
          <w:szCs w:val="32"/>
        </w:rPr>
        <w:t>．基本支出预算数为</w:t>
      </w:r>
      <w:r>
        <w:rPr>
          <w:rFonts w:hint="eastAsia" w:ascii="仿宋_GB2312" w:hAnsi="楷体" w:eastAsia="仿宋_GB2312"/>
          <w:kern w:val="0"/>
          <w:sz w:val="32"/>
          <w:szCs w:val="32"/>
          <w:u w:val="single"/>
          <w:lang w:val="en-US" w:eastAsia="zh-CN"/>
        </w:rPr>
        <w:t>44.34</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1.93</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万元，其中：一般公共预算收入</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lang w:val="en-US" w:eastAsia="zh-CN"/>
        </w:rPr>
        <w:t>44.34</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95.8</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1.93</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hint="eastAsia" w:ascii="仿宋_GB2312" w:hAnsi="楷体" w:eastAsia="仿宋_GB2312"/>
          <w:kern w:val="0"/>
          <w:sz w:val="32"/>
          <w:szCs w:val="32"/>
          <w:u w:val="single"/>
          <w:lang w:val="en-US" w:eastAsia="zh-CN"/>
        </w:rPr>
        <w:t>46.27</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 xml:space="preserve">    46.27</w:t>
      </w:r>
      <w:r>
        <w:rPr>
          <w:rFonts w:hint="eastAsia" w:ascii="仿宋_GB2312" w:hAnsi="楷体" w:eastAsia="仿宋_GB2312"/>
          <w:kern w:val="0"/>
          <w:sz w:val="32"/>
          <w:szCs w:val="32"/>
        </w:rPr>
        <w:t>万元，其中：</w:t>
      </w:r>
    </w:p>
    <w:p>
      <w:pPr>
        <w:widowControl/>
        <w:numPr>
          <w:ilvl w:val="0"/>
          <w:numId w:val="3"/>
        </w:numPr>
        <w:spacing w:line="560" w:lineRule="exact"/>
        <w:ind w:firstLine="641"/>
        <w:rPr>
          <w:rFonts w:hint="eastAsia" w:ascii="仿宋_GB2312" w:hAnsi="楷体" w:eastAsia="仿宋_GB2312"/>
          <w:kern w:val="0"/>
          <w:sz w:val="32"/>
          <w:szCs w:val="32"/>
        </w:rPr>
      </w:pPr>
      <w:r>
        <w:rPr>
          <w:rFonts w:hint="eastAsia" w:ascii="仿宋_GB2312" w:hAnsi="楷体" w:eastAsia="仿宋_GB2312"/>
          <w:kern w:val="0"/>
          <w:sz w:val="32"/>
          <w:szCs w:val="32"/>
        </w:rPr>
        <w:t>人员经费</w:t>
      </w:r>
      <w:r>
        <w:rPr>
          <w:rFonts w:hint="eastAsia" w:ascii="仿宋_GB2312" w:hAnsi="楷体" w:eastAsia="仿宋_GB2312"/>
          <w:kern w:val="0"/>
          <w:sz w:val="32"/>
          <w:szCs w:val="32"/>
          <w:u w:val="single"/>
          <w:lang w:val="en-US" w:eastAsia="zh-CN"/>
        </w:rPr>
        <w:t>40.2</w:t>
      </w:r>
      <w:r>
        <w:rPr>
          <w:rFonts w:hint="eastAsia" w:ascii="仿宋_GB2312" w:hAnsi="楷体" w:eastAsia="仿宋_GB2312"/>
          <w:kern w:val="0"/>
          <w:sz w:val="32"/>
          <w:szCs w:val="32"/>
        </w:rPr>
        <w:t>万元。主要包括：</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基本工资</w:t>
      </w:r>
      <w:r>
        <w:rPr>
          <w:rFonts w:hint="eastAsia" w:ascii="仿宋_GB2312" w:hAnsi="楷体" w:eastAsia="仿宋_GB2312"/>
          <w:kern w:val="0"/>
          <w:sz w:val="32"/>
          <w:szCs w:val="32"/>
          <w:lang w:val="en-US" w:eastAsia="zh-CN"/>
        </w:rPr>
        <w:t>17.67万元</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津贴补贴</w:t>
      </w:r>
      <w:r>
        <w:rPr>
          <w:rFonts w:hint="eastAsia" w:ascii="仿宋_GB2312" w:hAnsi="楷体" w:eastAsia="仿宋_GB2312"/>
          <w:kern w:val="0"/>
          <w:sz w:val="32"/>
          <w:szCs w:val="32"/>
          <w:lang w:val="en-US" w:eastAsia="zh-CN"/>
        </w:rPr>
        <w:t>11.4万元</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奖金</w:t>
      </w:r>
      <w:r>
        <w:rPr>
          <w:rFonts w:hint="eastAsia" w:ascii="仿宋_GB2312" w:hAnsi="楷体" w:eastAsia="仿宋_GB2312"/>
          <w:kern w:val="0"/>
          <w:sz w:val="32"/>
          <w:szCs w:val="32"/>
          <w:lang w:val="en-US" w:eastAsia="zh-CN"/>
        </w:rPr>
        <w:t>1.46万元</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社会保障缴费</w:t>
      </w:r>
      <w:r>
        <w:rPr>
          <w:rFonts w:hint="eastAsia" w:ascii="仿宋_GB2312" w:hAnsi="楷体" w:eastAsia="仿宋_GB2312"/>
          <w:kern w:val="0"/>
          <w:sz w:val="32"/>
          <w:szCs w:val="32"/>
          <w:lang w:val="en-US" w:eastAsia="zh-CN"/>
        </w:rPr>
        <w:t>6.71万元</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其他工资福利支出</w:t>
      </w:r>
      <w:r>
        <w:rPr>
          <w:rFonts w:hint="eastAsia" w:ascii="仿宋_GB2312" w:hAnsi="楷体" w:eastAsia="仿宋_GB2312"/>
          <w:kern w:val="0"/>
          <w:sz w:val="32"/>
          <w:szCs w:val="32"/>
          <w:lang w:val="en-US" w:eastAsia="zh-CN"/>
        </w:rPr>
        <w:t>0.01万元</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50" w:leftChars="500"/>
        <w:jc w:val="left"/>
        <w:textAlignment w:val="auto"/>
        <w:rPr>
          <w:rFonts w:hint="default" w:ascii="仿宋_GB2312" w:hAnsi="楷体" w:eastAsia="仿宋_GB2312"/>
          <w:kern w:val="0"/>
          <w:sz w:val="32"/>
          <w:szCs w:val="32"/>
          <w:lang w:val="en-US"/>
        </w:rPr>
      </w:pPr>
      <w:r>
        <w:rPr>
          <w:rFonts w:hint="eastAsia" w:ascii="仿宋_GB2312" w:hAnsi="楷体" w:eastAsia="仿宋_GB2312"/>
          <w:kern w:val="0"/>
          <w:sz w:val="32"/>
          <w:szCs w:val="32"/>
        </w:rPr>
        <w:t>住房公积金</w:t>
      </w:r>
      <w:r>
        <w:rPr>
          <w:rFonts w:hint="eastAsia" w:ascii="仿宋_GB2312" w:hAnsi="楷体" w:eastAsia="仿宋_GB2312"/>
          <w:kern w:val="0"/>
          <w:sz w:val="32"/>
          <w:szCs w:val="32"/>
          <w:lang w:val="en-US" w:eastAsia="zh-CN"/>
        </w:rPr>
        <w:t>2.77万元</w:t>
      </w:r>
    </w:p>
    <w:p>
      <w:pPr>
        <w:numPr>
          <w:ilvl w:val="0"/>
          <w:numId w:val="3"/>
        </w:numPr>
        <w:autoSpaceDE w:val="0"/>
        <w:autoSpaceDN w:val="0"/>
        <w:adjustRightInd w:val="0"/>
        <w:spacing w:line="560" w:lineRule="exact"/>
        <w:ind w:left="0" w:leftChars="0" w:firstLine="641" w:firstLineChars="0"/>
        <w:jc w:val="left"/>
        <w:rPr>
          <w:rFonts w:hint="eastAsia" w:ascii="仿宋_GB2312" w:hAnsi="楷体" w:eastAsia="仿宋_GB2312"/>
          <w:kern w:val="0"/>
          <w:sz w:val="32"/>
          <w:szCs w:val="32"/>
        </w:rPr>
      </w:pPr>
      <w:r>
        <w:rPr>
          <w:rFonts w:hint="eastAsia" w:ascii="仿宋_GB2312" w:hAnsi="楷体" w:eastAsia="仿宋_GB2312"/>
          <w:kern w:val="0"/>
          <w:sz w:val="32"/>
          <w:szCs w:val="32"/>
        </w:rPr>
        <w:t>公用经费</w:t>
      </w:r>
      <w:r>
        <w:rPr>
          <w:rFonts w:hint="eastAsia" w:ascii="仿宋_GB2312" w:hAnsi="楷体" w:eastAsia="仿宋_GB2312"/>
          <w:kern w:val="0"/>
          <w:sz w:val="32"/>
          <w:szCs w:val="32"/>
          <w:u w:val="single"/>
          <w:lang w:val="en-US" w:eastAsia="zh-CN"/>
        </w:rPr>
        <w:t>4.32</w:t>
      </w:r>
      <w:r>
        <w:rPr>
          <w:rFonts w:hint="eastAsia" w:ascii="仿宋_GB2312" w:hAnsi="楷体" w:eastAsia="仿宋_GB2312"/>
          <w:kern w:val="0"/>
          <w:sz w:val="32"/>
          <w:szCs w:val="32"/>
        </w:rPr>
        <w:t>万元。主要包括：</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exact"/>
        <w:ind w:left="1050" w:leftChars="50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办公费</w:t>
      </w:r>
      <w:r>
        <w:rPr>
          <w:rFonts w:hint="eastAsia" w:ascii="仿宋_GB2312" w:hAnsi="楷体" w:eastAsia="仿宋_GB2312"/>
          <w:kern w:val="0"/>
          <w:sz w:val="32"/>
          <w:szCs w:val="32"/>
          <w:lang w:val="en-US" w:eastAsia="zh-CN"/>
        </w:rPr>
        <w:t>0.2万元</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exact"/>
        <w:ind w:left="1050" w:leftChars="500" w:firstLine="0" w:firstLineChars="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取暖费</w:t>
      </w:r>
      <w:r>
        <w:rPr>
          <w:rFonts w:hint="eastAsia" w:ascii="仿宋_GB2312" w:hAnsi="楷体" w:eastAsia="仿宋_GB2312"/>
          <w:kern w:val="0"/>
          <w:sz w:val="32"/>
          <w:szCs w:val="32"/>
          <w:lang w:val="en-US" w:eastAsia="zh-CN"/>
        </w:rPr>
        <w:t>0.27万元</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exact"/>
        <w:ind w:left="1050" w:leftChars="500" w:firstLine="0" w:firstLineChars="0"/>
        <w:jc w:val="left"/>
        <w:textAlignment w:val="auto"/>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rPr>
        <w:t>物业管理费</w:t>
      </w:r>
      <w:r>
        <w:rPr>
          <w:rFonts w:hint="eastAsia" w:ascii="仿宋_GB2312" w:hAnsi="楷体" w:eastAsia="仿宋_GB2312"/>
          <w:kern w:val="0"/>
          <w:sz w:val="32"/>
          <w:szCs w:val="32"/>
          <w:lang w:val="en-US" w:eastAsia="zh-CN"/>
        </w:rPr>
        <w:t>0.37万元</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exact"/>
        <w:ind w:left="1050" w:leftChars="500" w:firstLine="0" w:firstLineChars="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差旅费</w:t>
      </w:r>
      <w:r>
        <w:rPr>
          <w:rFonts w:hint="eastAsia" w:ascii="仿宋_GB2312" w:hAnsi="楷体" w:eastAsia="仿宋_GB2312"/>
          <w:kern w:val="0"/>
          <w:sz w:val="32"/>
          <w:szCs w:val="32"/>
          <w:lang w:val="en-US" w:eastAsia="zh-CN"/>
        </w:rPr>
        <w:t>0.03万元</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560" w:lineRule="exact"/>
        <w:ind w:left="1050" w:leftChars="500" w:firstLine="0" w:firstLineChars="0"/>
        <w:jc w:val="left"/>
        <w:textAlignment w:val="auto"/>
        <w:rPr>
          <w:rFonts w:hint="eastAsia" w:ascii="仿宋_GB2312" w:hAnsi="楷体" w:eastAsia="仿宋_GB2312"/>
          <w:kern w:val="0"/>
          <w:sz w:val="32"/>
          <w:szCs w:val="32"/>
        </w:rPr>
      </w:pPr>
      <w:r>
        <w:rPr>
          <w:rFonts w:hint="eastAsia" w:ascii="仿宋_GB2312" w:hAnsi="楷体" w:eastAsia="仿宋_GB2312"/>
          <w:kern w:val="0"/>
          <w:sz w:val="32"/>
          <w:szCs w:val="32"/>
        </w:rPr>
        <w:t>其他交通费用</w:t>
      </w:r>
      <w:r>
        <w:rPr>
          <w:rFonts w:hint="eastAsia" w:ascii="仿宋_GB2312" w:hAnsi="楷体" w:eastAsia="仿宋_GB2312"/>
          <w:kern w:val="0"/>
          <w:sz w:val="32"/>
          <w:szCs w:val="32"/>
          <w:lang w:val="en-US" w:eastAsia="zh-CN"/>
        </w:rPr>
        <w:t>3.45万元</w:t>
      </w:r>
    </w:p>
    <w:p>
      <w:pPr>
        <w:widowControl/>
        <w:numPr>
          <w:ilvl w:val="0"/>
          <w:numId w:val="0"/>
        </w:numPr>
        <w:autoSpaceDE/>
        <w:autoSpaceDN/>
        <w:adjustRightInd/>
        <w:spacing w:line="560" w:lineRule="exact"/>
        <w:ind w:firstLine="640" w:firstLineChars="200"/>
        <w:jc w:val="left"/>
        <w:rPr>
          <w:rFonts w:ascii="仿宋_GB2312" w:hAnsi="楷体" w:eastAsia="仿宋_GB2312"/>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襄汾县商务局</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widowControl/>
        <w:numPr>
          <w:ilvl w:val="0"/>
          <w:numId w:val="0"/>
        </w:numPr>
        <w:autoSpaceDE/>
        <w:autoSpaceDN/>
        <w:adjustRightInd/>
        <w:spacing w:line="560" w:lineRule="exact"/>
        <w:ind w:firstLine="640" w:firstLineChars="200"/>
        <w:jc w:val="left"/>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襄汾县商务局无“三公”经费，因为我单位没有公车。</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 xml:space="preserve">4.25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我单位没有政府采购</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1.93</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纳入、□未纳入）绩效目标管理，涉及财政性资金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1.93</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widowControl/>
        <w:spacing w:line="560" w:lineRule="exact"/>
        <w:ind w:firstLine="636"/>
        <w:rPr>
          <w:rFonts w:hint="eastAsia" w:ascii="仿宋_GB2312" w:hAnsi="黑体" w:eastAsia="仿宋_GB2312"/>
          <w:b/>
          <w:spacing w:val="-16"/>
          <w:kern w:val="0"/>
          <w:sz w:val="32"/>
          <w:szCs w:val="32"/>
        </w:rPr>
      </w:pPr>
      <w:r>
        <w:rPr>
          <w:rFonts w:hint="eastAsia" w:ascii="仿宋_GB2312" w:hAnsi="黑体" w:eastAsia="仿宋_GB2312"/>
          <w:b/>
          <w:spacing w:val="-16"/>
          <w:kern w:val="0"/>
          <w:sz w:val="32"/>
          <w:szCs w:val="32"/>
        </w:rPr>
        <w:t>本</w:t>
      </w:r>
      <w:r>
        <w:rPr>
          <w:rFonts w:hint="eastAsia" w:ascii="仿宋_GB2312" w:hAnsi="黑体" w:eastAsia="仿宋_GB2312"/>
          <w:b/>
          <w:spacing w:val="-16"/>
          <w:kern w:val="0"/>
          <w:sz w:val="32"/>
          <w:szCs w:val="32"/>
          <w:lang w:eastAsia="zh-CN"/>
        </w:rPr>
        <w:t>单位</w:t>
      </w:r>
      <w:r>
        <w:rPr>
          <w:rFonts w:hint="eastAsia" w:ascii="仿宋_GB2312" w:hAnsi="黑体" w:eastAsia="仿宋_GB2312"/>
          <w:b/>
          <w:spacing w:val="-16"/>
          <w:kern w:val="0"/>
          <w:sz w:val="32"/>
          <w:szCs w:val="32"/>
        </w:rPr>
        <w:t>未使用政府债券。</w:t>
      </w:r>
    </w:p>
    <w:p>
      <w:pPr>
        <w:widowControl/>
        <w:numPr>
          <w:ilvl w:val="0"/>
          <w:numId w:val="6"/>
        </w:numPr>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其他</w:t>
      </w:r>
    </w:p>
    <w:p>
      <w:pPr>
        <w:widowControl/>
        <w:numPr>
          <w:ilvl w:val="0"/>
          <w:numId w:val="0"/>
        </w:numPr>
        <w:spacing w:line="560" w:lineRule="exac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     无</w:t>
      </w:r>
    </w:p>
    <w:p>
      <w:pPr>
        <w:widowControl/>
        <w:spacing w:line="560" w:lineRule="exact"/>
        <w:ind w:firstLine="636"/>
        <w:rPr>
          <w:rFonts w:hint="eastAsia" w:ascii="仿宋_GB2312" w:hAnsi="仿宋" w:eastAsia="仿宋_GB2312"/>
          <w:kern w:val="0"/>
          <w:sz w:val="32"/>
          <w:szCs w:val="32"/>
        </w:rPr>
      </w:pP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firstLine="636"/>
        <w:rPr>
          <w:rFonts w:ascii="仿宋_GB2312" w:hAnsi="仿宋"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0C209"/>
    <w:multiLevelType w:val="singleLevel"/>
    <w:tmpl w:val="AB90C209"/>
    <w:lvl w:ilvl="0" w:tentative="0">
      <w:start w:val="1"/>
      <w:numFmt w:val="decimal"/>
      <w:suff w:val="nothing"/>
      <w:lvlText w:val="%1．"/>
      <w:lvlJc w:val="left"/>
    </w:lvl>
  </w:abstractNum>
  <w:abstractNum w:abstractNumId="1">
    <w:nsid w:val="B4DACDB0"/>
    <w:multiLevelType w:val="singleLevel"/>
    <w:tmpl w:val="B4DACDB0"/>
    <w:lvl w:ilvl="0" w:tentative="0">
      <w:start w:val="1"/>
      <w:numFmt w:val="decimal"/>
      <w:lvlText w:val="%1."/>
      <w:lvlJc w:val="left"/>
      <w:pPr>
        <w:tabs>
          <w:tab w:val="left" w:pos="312"/>
        </w:tabs>
      </w:pPr>
    </w:lvl>
  </w:abstractNum>
  <w:abstractNum w:abstractNumId="2">
    <w:nsid w:val="C36F9618"/>
    <w:multiLevelType w:val="singleLevel"/>
    <w:tmpl w:val="C36F9618"/>
    <w:lvl w:ilvl="0" w:tentative="0">
      <w:start w:val="2"/>
      <w:numFmt w:val="chineseCounting"/>
      <w:suff w:val="nothing"/>
      <w:lvlText w:val="（%1）"/>
      <w:lvlJc w:val="left"/>
      <w:rPr>
        <w:rFonts w:hint="eastAsia"/>
      </w:rPr>
    </w:lvl>
  </w:abstractNum>
  <w:abstractNum w:abstractNumId="3">
    <w:nsid w:val="168C1C9F"/>
    <w:multiLevelType w:val="singleLevel"/>
    <w:tmpl w:val="168C1C9F"/>
    <w:lvl w:ilvl="0" w:tentative="0">
      <w:start w:val="1"/>
      <w:numFmt w:val="chineseCounting"/>
      <w:suff w:val="nothing"/>
      <w:lvlText w:val="（%1）"/>
      <w:lvlJc w:val="left"/>
      <w:rPr>
        <w:rFonts w:hint="eastAsia"/>
      </w:rPr>
    </w:lvl>
  </w:abstractNum>
  <w:abstractNum w:abstractNumId="4">
    <w:nsid w:val="4B35F3F1"/>
    <w:multiLevelType w:val="singleLevel"/>
    <w:tmpl w:val="4B35F3F1"/>
    <w:lvl w:ilvl="0" w:tentative="0">
      <w:start w:val="1"/>
      <w:numFmt w:val="decimal"/>
      <w:suff w:val="space"/>
      <w:lvlText w:val="%1."/>
      <w:lvlJc w:val="left"/>
    </w:lvl>
  </w:abstractNum>
  <w:abstractNum w:abstractNumId="5">
    <w:nsid w:val="5456D05E"/>
    <w:multiLevelType w:val="singleLevel"/>
    <w:tmpl w:val="5456D05E"/>
    <w:lvl w:ilvl="0" w:tentative="0">
      <w:start w:val="2"/>
      <w:numFmt w:val="chineseCounting"/>
      <w:suff w:val="nothing"/>
      <w:lvlText w:val="%1、"/>
      <w:lvlJc w:val="left"/>
      <w:rPr>
        <w:rFonts w:hint="eastAsia"/>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MWU1NjU1NjAwNTcxZjliOGJkZDg1OTI3MDdkNTg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8A70A5A"/>
    <w:rsid w:val="09ED16A4"/>
    <w:rsid w:val="0A395A2B"/>
    <w:rsid w:val="0A781506"/>
    <w:rsid w:val="0A831A07"/>
    <w:rsid w:val="0B7A268C"/>
    <w:rsid w:val="0C550EC0"/>
    <w:rsid w:val="0ECF36D9"/>
    <w:rsid w:val="0FAC09AE"/>
    <w:rsid w:val="10675503"/>
    <w:rsid w:val="10F95EB1"/>
    <w:rsid w:val="11910BD1"/>
    <w:rsid w:val="12AC5325"/>
    <w:rsid w:val="13874192"/>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205F88"/>
    <w:rsid w:val="2A997794"/>
    <w:rsid w:val="2AA80908"/>
    <w:rsid w:val="2B4A170A"/>
    <w:rsid w:val="2C292926"/>
    <w:rsid w:val="2D282446"/>
    <w:rsid w:val="2D564B61"/>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55561F"/>
    <w:rsid w:val="457C07BD"/>
    <w:rsid w:val="46463CE7"/>
    <w:rsid w:val="47EE3BCE"/>
    <w:rsid w:val="48882984"/>
    <w:rsid w:val="49FF0CFB"/>
    <w:rsid w:val="4B517DBB"/>
    <w:rsid w:val="4BEC58E9"/>
    <w:rsid w:val="4BF3571C"/>
    <w:rsid w:val="4C4719A9"/>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9A6C33"/>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6375B9"/>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link w:val="6"/>
    <w:semiHidden/>
    <w:qFormat/>
    <w:uiPriority w:val="0"/>
    <w:rPr>
      <w:rFonts w:ascii="Times New Roman" w:hAnsi="Times New Roman"/>
      <w:szCs w:val="24"/>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1"/>
    <w:link w:val="5"/>
    <w:qFormat/>
    <w:uiPriority w:val="0"/>
    <w:rPr>
      <w:rFonts w:ascii="Times New Roman" w:hAnsi="Times New Roman"/>
      <w:szCs w:val="24"/>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5741</Words>
  <Characters>5952</Characters>
  <Lines>0</Lines>
  <Paragraphs>0</Paragraphs>
  <TotalTime>341</TotalTime>
  <ScaleCrop>false</ScaleCrop>
  <LinksUpToDate>false</LinksUpToDate>
  <CharactersWithSpaces>6074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看</cp:lastModifiedBy>
  <cp:lastPrinted>2020-05-19T03:47:00Z</cp:lastPrinted>
  <dcterms:modified xsi:type="dcterms:W3CDTF">2022-08-30T10:42:44Z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C7BB6A058981483BB478D2CCB1CEC1A7</vt:lpwstr>
  </property>
</Properties>
</file>