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襄汾县防震减灾中心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实施防震减灾的法律、法规和规章。</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会同有关部门编制防震减灾规划和拟定破坏性地震应急预案，报同级人民政府批准后实施。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拟定防震减灾年度计划并组织实施。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管理地震监测预报工作，提出地震趋势预报意见。</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管理震害预测、震情和灾情速报及地震灾害损失评估。</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(6）参与震区救灾和制定重建规划。</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会同有关部门开展防震减灾知识的宣传教育工作。</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承担县防震减灾指挥部办公室的日常工作，参与制定全县破坏性地震应急预案和综合防御措施，并督查落实。</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承担县政府交办的其他事项。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襄汾县</w:t>
      </w:r>
      <w:r>
        <w:rPr>
          <w:rFonts w:hint="eastAsia" w:ascii="仿宋_GB2312" w:hAnsi="仿宋_GB2312" w:eastAsia="仿宋_GB2312" w:cs="仿宋_GB2312"/>
          <w:sz w:val="32"/>
          <w:szCs w:val="32"/>
          <w:lang w:eastAsia="zh-CN"/>
        </w:rPr>
        <w:t>防震减灾中心</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正科级事业单位</w:t>
      </w:r>
      <w:r>
        <w:rPr>
          <w:rFonts w:hint="eastAsia" w:ascii="仿宋_GB2312" w:hAnsi="仿宋_GB2312" w:eastAsia="仿宋_GB2312" w:cs="仿宋_GB2312"/>
          <w:sz w:val="32"/>
          <w:szCs w:val="32"/>
        </w:rPr>
        <w:t>，主管全县防</w:t>
      </w:r>
      <w:r>
        <w:rPr>
          <w:rFonts w:hint="eastAsia" w:ascii="仿宋_GB2312" w:hAnsi="仿宋_GB2312" w:eastAsia="仿宋_GB2312" w:cs="仿宋_GB2312"/>
          <w:sz w:val="32"/>
          <w:szCs w:val="32"/>
          <w:lang w:eastAsia="zh-CN"/>
        </w:rPr>
        <w:t>震</w:t>
      </w:r>
      <w:r>
        <w:rPr>
          <w:rFonts w:hint="eastAsia" w:ascii="仿宋_GB2312" w:hAnsi="仿宋_GB2312" w:eastAsia="仿宋_GB2312" w:cs="仿宋_GB2312"/>
          <w:sz w:val="32"/>
          <w:szCs w:val="32"/>
        </w:rPr>
        <w:t>减灾工作。下设办公室、综合股、监测站。</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本单位无下属单位</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1、坚守岗位，加强地震监测。</w:t>
      </w:r>
      <w:r>
        <w:rPr>
          <w:rFonts w:hint="eastAsia" w:ascii="仿宋_GB2312" w:hAnsi="仿宋_GB2312" w:eastAsia="仿宋_GB2312" w:cs="仿宋_GB2312"/>
          <w:sz w:val="32"/>
          <w:szCs w:val="32"/>
        </w:rPr>
        <w:t>严格落实24小时震情值班相关规定，坚持落实异常不过夜，认真组织开展每周震情趋势会商和每天零报告制度。</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2、加强网点管护，抓实微观监测管理。</w:t>
      </w:r>
      <w:r>
        <w:rPr>
          <w:rFonts w:hint="eastAsia" w:ascii="仿宋_GB2312" w:hAnsi="仿宋_GB2312" w:eastAsia="仿宋_GB2312" w:cs="仿宋_GB2312"/>
          <w:sz w:val="32"/>
          <w:szCs w:val="32"/>
        </w:rPr>
        <w:t>一是积极与观测点所在的乡镇政府、村两委、单位负责人进行协调对接，减少生产生活人为因素对观测点的干扰。二是加强对张礼地下水微观监测点的常态化巡查、检查，做好维护管理，确保设施设备正常运行。三是积极与襄汾中学校方密切合作，不断加强对襄汾中学强震动监测台及其周边环境的管理，确保监测设备安全运行，为地震监测提供真实准确数据。</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3、继续充实“三网一员”，加强防震知识宣传。</w:t>
      </w:r>
      <w:r>
        <w:rPr>
          <w:rFonts w:hint="eastAsia" w:ascii="仿宋_GB2312" w:hAnsi="仿宋_GB2312" w:eastAsia="仿宋_GB2312" w:cs="仿宋_GB2312"/>
          <w:sz w:val="32"/>
          <w:szCs w:val="32"/>
        </w:rPr>
        <w:t>一是不断完善集地震宏观监测、灾情速报、科普宣传为一体的全县群测群防网络体系，构筑有效的地震宏观测报网、地震灾情速报网、地震知识宣传网。二是不断调整充实灾情速报员队伍，强化防震减灾培训，经常性组织开展社会防震知识宣传、涉震舆情应、宏观异常识别，切实提升应对能力，确保灾情速报员覆盖到全县每个村落，灾情速报网做到全县不留死角。</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4、开展防震减灾知识宣传活动。</w:t>
      </w:r>
      <w:r>
        <w:rPr>
          <w:rFonts w:hint="eastAsia" w:ascii="仿宋_GB2312" w:hAnsi="仿宋_GB2312" w:eastAsia="仿宋_GB2312" w:cs="仿宋_GB2312"/>
          <w:bCs/>
          <w:color w:val="000000"/>
          <w:sz w:val="32"/>
          <w:szCs w:val="32"/>
        </w:rPr>
        <w:t>坚持防震减灾知识宣传“进机关、进校园、进社区、进企业、进农村、进家庭”活动，</w:t>
      </w:r>
      <w:r>
        <w:rPr>
          <w:rFonts w:hint="eastAsia" w:ascii="仿宋_GB2312" w:hAnsi="仿宋_GB2312" w:eastAsia="仿宋_GB2312" w:cs="仿宋_GB2312"/>
          <w:sz w:val="32"/>
          <w:szCs w:val="32"/>
        </w:rPr>
        <w:t>利用“5·12”全国防灾减灾日、6月安全生产月、“7·28”防震减灾宣传周期间、国际减灾日、“12·4”宪法宣传日等重要时间节点，积极举办防震减灾知识讲座、应急演练，宣传咨询等多种形式开展防震减灾知识宣传。</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5、打造校园防震减灾宣传阵地。</w:t>
      </w:r>
      <w:r>
        <w:rPr>
          <w:rFonts w:hint="eastAsia" w:ascii="仿宋_GB2312" w:hAnsi="仿宋_GB2312" w:eastAsia="仿宋_GB2312" w:cs="仿宋_GB2312"/>
          <w:sz w:val="32"/>
          <w:szCs w:val="32"/>
        </w:rPr>
        <w:t>一是坚持把学校防震减灾知识普及作为宣传教育的主阵地来抓，我们将分别深入各中、小学积极开展防震减灾知识宣传。二组织中小学校师生开展防震减灾知识宣传培训，向广大师生普及防震减灾基本知识和防范应对各类灾害的基本技能，形成学生——家长——社会一条宣传链，使广大师生成为全社会防震减灾宣传的主力军。</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6、搞好自身建设，不断适应防震减灾工作新要求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科学发展观要求，加强政治理论和业务知识的学习，不断提高我中心干部职工的综合素质；加强中心党风廉政建设，强化责任追究和责任考核，增强拒腐防变能力；加强制度建设，不断提高干部的执行力；认真落实安全、稳定工作责任制，努力完成县委县政府交办的其他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7、坚持学法用法，依法做好应急准备。</w:t>
      </w:r>
      <w:r>
        <w:rPr>
          <w:rFonts w:hint="eastAsia" w:ascii="仿宋_GB2312" w:hAnsi="仿宋_GB2312" w:eastAsia="仿宋_GB2312" w:cs="仿宋_GB2312"/>
          <w:sz w:val="32"/>
          <w:szCs w:val="32"/>
        </w:rPr>
        <w:t>一是坚持学习《中华人民共和国防震减灾法》，做到知法守法用法，进一步明确我中心所承担的工作职责。二是树立法治思维，用法律来维护防震减灾设备设施安全，确保各应急避险场所指示警示标识安全。三是积极开展《防震减灾法》宣传教育，让群众知晓，让相关单位明白，努力在全社会营造建筑标准符合我县防震减灾抗震等级、生产生活注意保护地震监测设施设备安全的良好氛围。</w:t>
      </w:r>
    </w:p>
    <w:p>
      <w:pPr>
        <w:ind w:firstLine="640" w:firstLineChars="200"/>
        <w:rPr>
          <w:rFonts w:hint="default" w:ascii="仿宋_GB2312" w:hAnsi="楷体" w:eastAsia="仿宋_GB2312"/>
          <w:kern w:val="0"/>
          <w:sz w:val="32"/>
          <w:szCs w:val="32"/>
          <w:lang w:val="en-US" w:eastAsia="zh-CN"/>
        </w:rPr>
      </w:pPr>
      <w:r>
        <w:rPr>
          <w:rFonts w:hint="eastAsia" w:ascii="仿宋_GB2312" w:hAnsi="仿宋_GB2312" w:eastAsia="仿宋_GB2312" w:cs="仿宋_GB2312"/>
          <w:sz w:val="32"/>
          <w:szCs w:val="32"/>
        </w:rPr>
        <w:t>防震减灾工作任重道远。在下一步工作中，我们将以习近平新时代中国特色社会主义思想为指导，不忘初心、牢记使命，进一步解放思想，转变作风，强化措施，狠抓落实，为建设“富裕襄汾、文化襄汾、法治襄汾、绿色襄汾”目标的实现做出积极努力</w:t>
      </w:r>
      <w:r>
        <w:rPr>
          <w:rFonts w:hint="eastAsia" w:ascii="仿宋_GB2312" w:hAnsi="仿宋_GB2312" w:eastAsia="仿宋_GB2312" w:cs="仿宋_GB2312"/>
          <w:sz w:val="32"/>
          <w:szCs w:val="32"/>
          <w:lang w:eastAsia="zh-CN"/>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襄汾县防震减灾中心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襄汾县防震减灾中心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w:t>
      </w:r>
      <w:r>
        <w:rPr>
          <w:rFonts w:hint="eastAsia" w:ascii="仿宋_GB2312" w:hAnsi="宋体" w:eastAsia="仿宋_GB2312" w:cs="Times New Roman"/>
          <w:sz w:val="32"/>
          <w:szCs w:val="32"/>
          <w:u w:val="single"/>
          <w:lang w:val="en-US" w:eastAsia="zh-CN"/>
        </w:rPr>
        <w:t>防震减灾中心</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lang w:val="en-US" w:eastAsia="zh-CN"/>
        </w:rPr>
        <w:t>12.93万元</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lang w:val="en-US" w:eastAsia="zh-CN"/>
        </w:rPr>
        <w:t>5.18万元</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 住房保障支出6.49万元、</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  灾害防治及应急管理支出108.07万元</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110.88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襄汾县防震减灾中心</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襄汾县防震减灾中心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110.88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83.58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color w:val="FF0000"/>
          <w:kern w:val="0"/>
          <w:sz w:val="32"/>
          <w:szCs w:val="32"/>
          <w:lang w:eastAsia="zh-CN"/>
        </w:rPr>
      </w:pPr>
      <w:r>
        <w:rPr>
          <w:rFonts w:hint="eastAsia" w:ascii="仿宋_GB2312" w:hAnsi="楷体" w:eastAsia="仿宋_GB2312"/>
          <w:color w:val="auto"/>
          <w:kern w:val="0"/>
          <w:sz w:val="32"/>
          <w:szCs w:val="32"/>
          <w:u w:val="none"/>
          <w:lang w:eastAsia="zh-CN"/>
        </w:rPr>
        <w:t>襄汾县防震减灾中心</w:t>
      </w:r>
      <w:r>
        <w:rPr>
          <w:rFonts w:hint="eastAsia" w:ascii="仿宋_GB2312" w:hAnsi="楷体" w:eastAsia="仿宋_GB2312"/>
          <w:color w:val="auto"/>
          <w:kern w:val="0"/>
          <w:sz w:val="32"/>
          <w:szCs w:val="32"/>
          <w:lang w:eastAsia="zh-CN"/>
        </w:rPr>
        <w:t>202</w:t>
      </w:r>
      <w:r>
        <w:rPr>
          <w:rFonts w:hint="eastAsia" w:ascii="仿宋_GB2312" w:hAnsi="楷体" w:eastAsia="仿宋_GB2312"/>
          <w:color w:val="auto"/>
          <w:kern w:val="0"/>
          <w:sz w:val="32"/>
          <w:szCs w:val="32"/>
          <w:lang w:val="en-US" w:eastAsia="zh-CN"/>
        </w:rPr>
        <w:t>1</w:t>
      </w:r>
      <w:r>
        <w:rPr>
          <w:rFonts w:hint="eastAsia" w:ascii="仿宋_GB2312" w:hAnsi="楷体" w:eastAsia="仿宋_GB2312"/>
          <w:color w:val="auto"/>
          <w:kern w:val="0"/>
          <w:sz w:val="32"/>
          <w:szCs w:val="32"/>
        </w:rPr>
        <w:t>年度收入</w:t>
      </w:r>
      <w:r>
        <w:rPr>
          <w:rFonts w:hint="eastAsia" w:ascii="仿宋_GB2312" w:hAnsi="楷体" w:eastAsia="仿宋_GB2312"/>
          <w:color w:val="auto"/>
          <w:kern w:val="0"/>
          <w:sz w:val="32"/>
          <w:szCs w:val="32"/>
          <w:u w:val="single"/>
          <w:lang w:val="en-US" w:eastAsia="zh-CN"/>
        </w:rPr>
        <w:t>132.67</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rPr>
        <w:t>、与上年相比</w:t>
      </w:r>
      <w:r>
        <w:rPr>
          <w:rFonts w:hint="eastAsia" w:ascii="仿宋_GB2312" w:hAnsi="楷体" w:eastAsia="仿宋_GB2312"/>
          <w:color w:val="auto"/>
          <w:kern w:val="0"/>
          <w:sz w:val="32"/>
          <w:szCs w:val="32"/>
          <w:lang w:eastAsia="zh-CN"/>
        </w:rPr>
        <w:t>收入增加</w:t>
      </w:r>
      <w:r>
        <w:rPr>
          <w:rFonts w:hint="eastAsia" w:ascii="仿宋_GB2312" w:hAnsi="楷体" w:eastAsia="仿宋_GB2312"/>
          <w:color w:val="auto"/>
          <w:kern w:val="0"/>
          <w:sz w:val="32"/>
          <w:szCs w:val="32"/>
          <w:u w:val="single"/>
          <w:lang w:val="en-US" w:eastAsia="zh-CN"/>
        </w:rPr>
        <w:t>1.81</w:t>
      </w:r>
      <w:r>
        <w:rPr>
          <w:rFonts w:hint="eastAsia" w:ascii="仿宋_GB2312" w:hAnsi="楷体" w:eastAsia="仿宋_GB2312"/>
          <w:color w:val="auto"/>
          <w:kern w:val="0"/>
          <w:sz w:val="32"/>
          <w:szCs w:val="32"/>
          <w:lang w:val="en-US" w:eastAsia="zh-CN"/>
        </w:rPr>
        <w:t>万元，</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u w:val="single"/>
          <w:lang w:val="en-US" w:eastAsia="zh-CN"/>
        </w:rPr>
        <w:t>13.83</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。支出预算</w:t>
      </w:r>
      <w:r>
        <w:rPr>
          <w:rFonts w:hint="eastAsia" w:ascii="仿宋_GB2312" w:hAnsi="楷体" w:eastAsia="仿宋_GB2312"/>
          <w:color w:val="auto"/>
          <w:kern w:val="0"/>
          <w:sz w:val="32"/>
          <w:szCs w:val="32"/>
          <w:u w:val="single"/>
          <w:lang w:val="en-US" w:eastAsia="zh-CN"/>
        </w:rPr>
        <w:t>132.67</w:t>
      </w:r>
      <w:r>
        <w:rPr>
          <w:rFonts w:hint="eastAsia" w:ascii="仿宋_GB2312" w:hAnsi="楷体" w:eastAsia="仿宋_GB2312"/>
          <w:color w:val="auto"/>
          <w:kern w:val="0"/>
          <w:sz w:val="32"/>
          <w:szCs w:val="32"/>
        </w:rPr>
        <w:t>万元，与上年相比支</w:t>
      </w:r>
      <w:r>
        <w:rPr>
          <w:rFonts w:hint="eastAsia" w:ascii="仿宋_GB2312" w:hAnsi="楷体" w:eastAsia="仿宋_GB2312"/>
          <w:color w:val="auto"/>
          <w:kern w:val="0"/>
          <w:sz w:val="32"/>
          <w:szCs w:val="32"/>
          <w:lang w:eastAsia="zh-CN"/>
        </w:rPr>
        <w:t>出</w:t>
      </w:r>
      <w:r>
        <w:rPr>
          <w:rFonts w:hint="eastAsia" w:ascii="仿宋_GB2312" w:hAnsi="楷体" w:eastAsia="仿宋_GB2312"/>
          <w:color w:val="auto"/>
          <w:kern w:val="0"/>
          <w:sz w:val="32"/>
          <w:szCs w:val="32"/>
        </w:rPr>
        <w:t>预算</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u w:val="single"/>
          <w:lang w:val="en-US" w:eastAsia="zh-CN"/>
        </w:rPr>
        <w:t>1.81</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u w:val="single"/>
          <w:lang w:val="en-US" w:eastAsia="zh-CN"/>
        </w:rPr>
        <w:t>13.83</w:t>
      </w:r>
      <w:r>
        <w:rPr>
          <w:rFonts w:ascii="仿宋_GB2312" w:hAnsi="楷体" w:eastAsia="仿宋_GB2312"/>
          <w:color w:val="auto"/>
          <w:kern w:val="0"/>
          <w:sz w:val="32"/>
          <w:szCs w:val="32"/>
          <w:u w:val="single"/>
        </w:rPr>
        <w:t>%</w:t>
      </w:r>
      <w:r>
        <w:rPr>
          <w:rFonts w:hint="eastAsia" w:ascii="仿宋_GB2312" w:hAnsi="楷体" w:eastAsia="仿宋_GB2312"/>
          <w:color w:val="auto"/>
          <w:kern w:val="0"/>
          <w:sz w:val="32"/>
          <w:szCs w:val="32"/>
          <w:u w:val="single"/>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eastAsia="zh-CN"/>
        </w:rPr>
        <w:t>人员工资调整。</w:t>
      </w:r>
    </w:p>
    <w:p>
      <w:pPr>
        <w:widowControl/>
        <w:numPr>
          <w:ilvl w:val="0"/>
          <w:numId w:val="1"/>
        </w:numPr>
        <w:autoSpaceDE/>
        <w:autoSpaceDN/>
        <w:adjustRightInd/>
        <w:spacing w:line="560" w:lineRule="exact"/>
        <w:ind w:left="0" w:leftChars="0" w:firstLine="640" w:firstLineChars="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一般公共预算支出预算情况说明</w:t>
      </w:r>
    </w:p>
    <w:p>
      <w:pPr>
        <w:widowControl/>
        <w:numPr>
          <w:ilvl w:val="0"/>
          <w:numId w:val="0"/>
        </w:numPr>
        <w:autoSpaceDE/>
        <w:autoSpaceDN/>
        <w:adjustRightInd/>
        <w:spacing w:line="560" w:lineRule="exact"/>
        <w:ind w:firstLine="640" w:firstLineChars="200"/>
        <w:jc w:val="left"/>
        <w:rPr>
          <w:rFonts w:ascii="仿宋_GB2312" w:hAnsi="楷体" w:eastAsia="仿宋_GB2312"/>
          <w:color w:val="FF0000"/>
          <w:kern w:val="0"/>
          <w:sz w:val="32"/>
          <w:szCs w:val="32"/>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lang w:eastAsia="zh-CN"/>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132.67</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1.81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none"/>
          <w:lang w:val="en-US" w:eastAsia="zh-CN"/>
        </w:rPr>
        <w:t>13.83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color w:val="auto"/>
          <w:kern w:val="0"/>
          <w:sz w:val="32"/>
          <w:szCs w:val="32"/>
          <w:lang w:eastAsia="zh-CN"/>
        </w:rPr>
        <w:t>人员工资调整。</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w:t>
      </w:r>
      <w:r>
        <w:rPr>
          <w:rFonts w:hint="eastAsia" w:ascii="仿宋_GB2312" w:hAnsi="楷体" w:eastAsia="仿宋_GB2312"/>
          <w:kern w:val="0"/>
          <w:sz w:val="32"/>
          <w:szCs w:val="32"/>
          <w:lang w:eastAsia="zh-CN"/>
        </w:rPr>
        <w:t>防震减灾中心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110.88</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color w:val="auto"/>
          <w:kern w:val="0"/>
          <w:sz w:val="32"/>
          <w:szCs w:val="32"/>
        </w:rPr>
      </w:pPr>
      <w:r>
        <w:rPr>
          <w:rFonts w:hint="eastAsia" w:ascii="仿宋_GB2312" w:hAnsi="楷体" w:eastAsia="仿宋_GB2312"/>
          <w:color w:val="auto"/>
          <w:kern w:val="0"/>
          <w:sz w:val="32"/>
          <w:szCs w:val="32"/>
        </w:rPr>
        <w:t>（一）人员经费</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103.62</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万元。主要包括：基本工资、津贴补贴、奖金、社会保障缴费、绩效工资、其他工资福利支出、离休费、退休费、抚恤金、生活补助、医疗费、奖励金、住房公积金、对个人和家庭的补助支出。</w:t>
      </w:r>
    </w:p>
    <w:p>
      <w:pPr>
        <w:autoSpaceDE w:val="0"/>
        <w:autoSpaceDN w:val="0"/>
        <w:adjustRightInd w:val="0"/>
        <w:spacing w:line="560" w:lineRule="exact"/>
        <w:ind w:firstLine="641"/>
        <w:jc w:val="left"/>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（二）公用经费</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7.26</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万元。主要包括：办公费、印刷费、电费、邮电费、差旅费、维修（护）费、劳务费、工会经费、其他交通费用、其他商品和服务支出、办公设备购置。</w:t>
      </w:r>
    </w:p>
    <w:p>
      <w:pPr>
        <w:autoSpaceDE w:val="0"/>
        <w:autoSpaceDN w:val="0"/>
        <w:adjustRightInd w:val="0"/>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cstheme="minorBidi"/>
          <w:kern w:val="0"/>
          <w:sz w:val="32"/>
          <w:szCs w:val="32"/>
          <w:lang w:eastAsia="zh-CN"/>
        </w:rPr>
      </w:pPr>
      <w:r>
        <w:rPr>
          <w:rFonts w:hint="eastAsia" w:ascii="仿宋_GB2312" w:hAnsi="宋体" w:eastAsia="仿宋_GB2312" w:cs="Times New Roman"/>
          <w:sz w:val="32"/>
          <w:szCs w:val="32"/>
          <w:lang w:val="en-US" w:eastAsia="zh-CN"/>
        </w:rPr>
        <w:t>襄汾县</w:t>
      </w:r>
      <w:r>
        <w:rPr>
          <w:rFonts w:hint="eastAsia" w:ascii="仿宋_GB2312" w:hAnsi="楷体" w:eastAsia="仿宋_GB2312"/>
          <w:kern w:val="0"/>
          <w:sz w:val="32"/>
          <w:szCs w:val="32"/>
          <w:lang w:eastAsia="zh-CN"/>
        </w:rPr>
        <w:t>防震减灾中心</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rPr>
        <w:t>1年</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政府性基金支出预算</w:t>
      </w:r>
      <w:r>
        <w:rPr>
          <w:rFonts w:hint="eastAsia" w:ascii="仿宋_GB2312" w:hAnsi="楷体" w:eastAsia="仿宋_GB2312"/>
          <w:kern w:val="0"/>
          <w:sz w:val="32"/>
          <w:szCs w:val="32"/>
          <w:lang w:eastAsia="zh-CN"/>
        </w:rPr>
        <w:t>。</w:t>
      </w:r>
    </w:p>
    <w:p>
      <w:pPr>
        <w:widowControl/>
        <w:numPr>
          <w:ilvl w:val="0"/>
          <w:numId w:val="2"/>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一般公共预算“三公”经费预算情况说明</w:t>
      </w:r>
    </w:p>
    <w:p>
      <w:pPr>
        <w:autoSpaceDE w:val="0"/>
        <w:autoSpaceDN w:val="0"/>
        <w:adjustRightInd w:val="0"/>
        <w:ind w:firstLine="640" w:firstLineChars="200"/>
        <w:jc w:val="left"/>
        <w:rPr>
          <w:rFonts w:hint="eastAsia" w:ascii="仿宋_GB2312" w:hAnsi="楷体" w:eastAsia="仿宋_GB2312" w:cstheme="minorBidi"/>
          <w:kern w:val="0"/>
          <w:sz w:val="32"/>
          <w:szCs w:val="32"/>
        </w:rPr>
      </w:pPr>
      <w:r>
        <w:rPr>
          <w:rFonts w:hint="eastAsia" w:ascii="仿宋_GB2312" w:hAnsi="宋体" w:eastAsia="仿宋_GB2312" w:cs="Times New Roman"/>
          <w:sz w:val="32"/>
          <w:szCs w:val="32"/>
          <w:lang w:val="en-US" w:eastAsia="zh-CN"/>
        </w:rPr>
        <w:t>襄汾县</w:t>
      </w:r>
      <w:bookmarkStart w:id="0" w:name="_GoBack"/>
      <w:bookmarkEnd w:id="0"/>
      <w:r>
        <w:rPr>
          <w:rFonts w:hint="eastAsia" w:ascii="仿宋_GB2312" w:hAnsi="楷体" w:eastAsia="仿宋_GB2312"/>
          <w:kern w:val="0"/>
          <w:sz w:val="32"/>
          <w:szCs w:val="32"/>
          <w:lang w:eastAsia="zh-CN"/>
        </w:rPr>
        <w:t>防震减灾中心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w:t>
      </w:r>
      <w:r>
        <w:rPr>
          <w:rFonts w:hint="eastAsia" w:ascii="仿宋" w:hAnsi="仿宋" w:eastAsia="仿宋" w:cs="仿宋"/>
          <w:sz w:val="32"/>
          <w:szCs w:val="32"/>
          <w:lang w:val="en-US" w:eastAsia="zh-CN"/>
        </w:rPr>
        <w:t>无</w:t>
      </w:r>
      <w:r>
        <w:rPr>
          <w:rFonts w:hint="eastAsia" w:ascii="仿宋" w:hAnsi="仿宋" w:eastAsia="仿宋"/>
          <w:sz w:val="32"/>
          <w:szCs w:val="32"/>
        </w:rPr>
        <w:t>三公经费支出</w:t>
      </w:r>
      <w:r>
        <w:rPr>
          <w:rFonts w:hint="eastAsia" w:ascii="仿宋" w:hAnsi="仿宋" w:eastAsia="仿宋"/>
          <w:sz w:val="32"/>
          <w:szCs w:val="32"/>
          <w:lang w:eastAsia="zh-CN"/>
        </w:rPr>
        <w:t>。</w:t>
      </w:r>
    </w:p>
    <w:p>
      <w:pPr>
        <w:widowControl/>
        <w:numPr>
          <w:ilvl w:val="0"/>
          <w:numId w:val="2"/>
        </w:numPr>
        <w:autoSpaceDE/>
        <w:autoSpaceDN/>
        <w:adjustRightInd/>
        <w:spacing w:line="560" w:lineRule="exact"/>
        <w:ind w:left="0" w:leftChars="0"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黑体" w:eastAsia="仿宋_GB2312"/>
          <w:b w:val="0"/>
          <w:bCs/>
          <w:sz w:val="32"/>
          <w:szCs w:val="32"/>
        </w:rPr>
        <w:t>本</w:t>
      </w:r>
      <w:r>
        <w:rPr>
          <w:rFonts w:hint="eastAsia" w:ascii="仿宋_GB2312" w:hAnsi="黑体" w:eastAsia="仿宋_GB2312"/>
          <w:b w:val="0"/>
          <w:bCs/>
          <w:sz w:val="32"/>
          <w:szCs w:val="32"/>
          <w:lang w:eastAsia="zh-CN"/>
        </w:rPr>
        <w:t>单位</w:t>
      </w:r>
      <w:r>
        <w:rPr>
          <w:rFonts w:hint="eastAsia" w:ascii="仿宋_GB2312" w:hAnsi="黑体" w:eastAsia="仿宋_GB2312"/>
          <w:b w:val="0"/>
          <w:bCs/>
          <w:sz w:val="32"/>
          <w:szCs w:val="32"/>
        </w:rPr>
        <w:t>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5.78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autoSpaceDE/>
        <w:autoSpaceDN/>
        <w:adjustRightInd/>
        <w:spacing w:line="560" w:lineRule="exact"/>
        <w:ind w:left="0" w:leftChars="0"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国有资产占用情况</w:t>
      </w:r>
    </w:p>
    <w:p>
      <w:pPr>
        <w:widowControl/>
        <w:numPr>
          <w:ilvl w:val="0"/>
          <w:numId w:val="0"/>
        </w:numPr>
        <w:autoSpaceDE/>
        <w:autoSpaceDN/>
        <w:adjustRightInd/>
        <w:spacing w:line="560" w:lineRule="exact"/>
        <w:ind w:leftChars="200" w:firstLine="320" w:firstLineChars="1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本单位无车辆</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本</w:t>
      </w:r>
      <w:r>
        <w:rPr>
          <w:rFonts w:hint="eastAsia" w:ascii="仿宋_GB2312" w:hAnsi="仿宋" w:eastAsia="仿宋_GB2312"/>
          <w:kern w:val="0"/>
          <w:sz w:val="32"/>
          <w:szCs w:val="32"/>
          <w:lang w:val="en-US" w:eastAsia="zh-CN"/>
        </w:rPr>
        <w:t>单位</w:t>
      </w:r>
      <w:r>
        <w:rPr>
          <w:rFonts w:hint="eastAsia" w:ascii="仿宋_GB2312" w:hAnsi="仿宋"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本单位未使用专项债劵。</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ind w:firstLine="640" w:firstLineChars="200"/>
        <w:rPr>
          <w:rFonts w:hint="eastAsia" w:ascii="黑体" w:hAnsi="Times New Roman" w:eastAsia="黑体"/>
          <w:kern w:val="0"/>
          <w:sz w:val="32"/>
          <w:szCs w:val="32"/>
        </w:rPr>
      </w:pPr>
      <w:r>
        <w:rPr>
          <w:rFonts w:hint="eastAsia" w:ascii="仿宋_GB2312" w:hAnsi="仿宋" w:eastAsia="仿宋_GB2312"/>
          <w:kern w:val="0"/>
          <w:sz w:val="32"/>
          <w:szCs w:val="32"/>
          <w:lang w:val="en-US" w:eastAsia="zh-CN"/>
        </w:rPr>
        <w:t>本单位无其他事项。</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2AD0E"/>
    <w:multiLevelType w:val="singleLevel"/>
    <w:tmpl w:val="84E2AD0E"/>
    <w:lvl w:ilvl="0" w:tentative="0">
      <w:start w:val="13"/>
      <w:numFmt w:val="chineseCounting"/>
      <w:suff w:val="nothing"/>
      <w:lvlText w:val="%1、"/>
      <w:lvlJc w:val="left"/>
      <w:rPr>
        <w:rFonts w:hint="eastAsia"/>
      </w:rPr>
    </w:lvl>
  </w:abstractNum>
  <w:abstractNum w:abstractNumId="1">
    <w:nsid w:val="A1DDE888"/>
    <w:multiLevelType w:val="singleLevel"/>
    <w:tmpl w:val="A1DDE888"/>
    <w:lvl w:ilvl="0" w:tentative="0">
      <w:start w:val="8"/>
      <w:numFmt w:val="chineseCounting"/>
      <w:suff w:val="nothing"/>
      <w:lvlText w:val="%1、"/>
      <w:lvlJc w:val="left"/>
      <w:rPr>
        <w:rFonts w:hint="eastAsia"/>
      </w:rPr>
    </w:lvl>
  </w:abstractNum>
  <w:abstractNum w:abstractNumId="2">
    <w:nsid w:val="40935124"/>
    <w:multiLevelType w:val="singleLevel"/>
    <w:tmpl w:val="40935124"/>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6B28A3"/>
    <w:rsid w:val="02F71C94"/>
    <w:rsid w:val="036571F6"/>
    <w:rsid w:val="042A46B1"/>
    <w:rsid w:val="047252B7"/>
    <w:rsid w:val="0595462A"/>
    <w:rsid w:val="05E51BD6"/>
    <w:rsid w:val="067E3534"/>
    <w:rsid w:val="068F085F"/>
    <w:rsid w:val="06C82279"/>
    <w:rsid w:val="06DD6518"/>
    <w:rsid w:val="07F6658C"/>
    <w:rsid w:val="09ED16A4"/>
    <w:rsid w:val="0A395A2B"/>
    <w:rsid w:val="0A781506"/>
    <w:rsid w:val="0A831A07"/>
    <w:rsid w:val="0AFB1087"/>
    <w:rsid w:val="0B7A268C"/>
    <w:rsid w:val="0C550EC0"/>
    <w:rsid w:val="0E80608C"/>
    <w:rsid w:val="0ECF36D9"/>
    <w:rsid w:val="0FAC09AE"/>
    <w:rsid w:val="10675503"/>
    <w:rsid w:val="108160EB"/>
    <w:rsid w:val="10F95EB1"/>
    <w:rsid w:val="11032FA4"/>
    <w:rsid w:val="11910BD1"/>
    <w:rsid w:val="12AC5325"/>
    <w:rsid w:val="13006C9E"/>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DFC609F"/>
    <w:rsid w:val="1E46404A"/>
    <w:rsid w:val="1E8B07BA"/>
    <w:rsid w:val="1F167368"/>
    <w:rsid w:val="1FD5315A"/>
    <w:rsid w:val="20154AC9"/>
    <w:rsid w:val="20953A56"/>
    <w:rsid w:val="20B465EE"/>
    <w:rsid w:val="21583B22"/>
    <w:rsid w:val="22461B1D"/>
    <w:rsid w:val="229A0D7C"/>
    <w:rsid w:val="22CC6E73"/>
    <w:rsid w:val="22DF6CA5"/>
    <w:rsid w:val="22F509EC"/>
    <w:rsid w:val="23613E3F"/>
    <w:rsid w:val="23C10D48"/>
    <w:rsid w:val="23D52ACB"/>
    <w:rsid w:val="23F2500F"/>
    <w:rsid w:val="244E46A1"/>
    <w:rsid w:val="24C3549B"/>
    <w:rsid w:val="24D33A48"/>
    <w:rsid w:val="26267710"/>
    <w:rsid w:val="26D73A12"/>
    <w:rsid w:val="26D867DF"/>
    <w:rsid w:val="275561AD"/>
    <w:rsid w:val="275B5730"/>
    <w:rsid w:val="28B179A0"/>
    <w:rsid w:val="28D95810"/>
    <w:rsid w:val="297F60F4"/>
    <w:rsid w:val="29C54245"/>
    <w:rsid w:val="29E745D6"/>
    <w:rsid w:val="2A0C4B1E"/>
    <w:rsid w:val="2A587A65"/>
    <w:rsid w:val="2A997794"/>
    <w:rsid w:val="2AA80908"/>
    <w:rsid w:val="2AD32EA7"/>
    <w:rsid w:val="2AF82872"/>
    <w:rsid w:val="2B4A170A"/>
    <w:rsid w:val="2C292926"/>
    <w:rsid w:val="2D282446"/>
    <w:rsid w:val="2DD00BD4"/>
    <w:rsid w:val="2DFF008B"/>
    <w:rsid w:val="2E08317D"/>
    <w:rsid w:val="2E4538B8"/>
    <w:rsid w:val="2E7A444E"/>
    <w:rsid w:val="2F646487"/>
    <w:rsid w:val="30B46CA3"/>
    <w:rsid w:val="30C714A1"/>
    <w:rsid w:val="3108141F"/>
    <w:rsid w:val="316856A6"/>
    <w:rsid w:val="31CA3EE9"/>
    <w:rsid w:val="3206472E"/>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0047CB"/>
    <w:rsid w:val="3F0D5E27"/>
    <w:rsid w:val="3F510BAC"/>
    <w:rsid w:val="3F5B1A54"/>
    <w:rsid w:val="3FF763B7"/>
    <w:rsid w:val="4010633E"/>
    <w:rsid w:val="406929B7"/>
    <w:rsid w:val="41274A97"/>
    <w:rsid w:val="413855EC"/>
    <w:rsid w:val="41F73716"/>
    <w:rsid w:val="42314B4F"/>
    <w:rsid w:val="42321896"/>
    <w:rsid w:val="42932653"/>
    <w:rsid w:val="42A87774"/>
    <w:rsid w:val="436B0382"/>
    <w:rsid w:val="43E334E8"/>
    <w:rsid w:val="44B8486B"/>
    <w:rsid w:val="45047640"/>
    <w:rsid w:val="4555561F"/>
    <w:rsid w:val="457C07BD"/>
    <w:rsid w:val="46463CE7"/>
    <w:rsid w:val="47EE3BCE"/>
    <w:rsid w:val="48882984"/>
    <w:rsid w:val="49FF0CFB"/>
    <w:rsid w:val="4B517DBB"/>
    <w:rsid w:val="4BEC58E9"/>
    <w:rsid w:val="4BF3571C"/>
    <w:rsid w:val="4CCC2331"/>
    <w:rsid w:val="4D6954BF"/>
    <w:rsid w:val="4E0B4C6B"/>
    <w:rsid w:val="50277D8E"/>
    <w:rsid w:val="50BC7B39"/>
    <w:rsid w:val="527C3191"/>
    <w:rsid w:val="5352788A"/>
    <w:rsid w:val="53DD6BA8"/>
    <w:rsid w:val="53F21A3F"/>
    <w:rsid w:val="55B2288E"/>
    <w:rsid w:val="55CB4852"/>
    <w:rsid w:val="579E20B3"/>
    <w:rsid w:val="58430EF3"/>
    <w:rsid w:val="58AA41B4"/>
    <w:rsid w:val="59554FEC"/>
    <w:rsid w:val="59AC6411"/>
    <w:rsid w:val="5A22632C"/>
    <w:rsid w:val="5AB04B75"/>
    <w:rsid w:val="5B494D63"/>
    <w:rsid w:val="5B9F36DE"/>
    <w:rsid w:val="5CA16867"/>
    <w:rsid w:val="5D15689C"/>
    <w:rsid w:val="5DD15C52"/>
    <w:rsid w:val="5E4E230C"/>
    <w:rsid w:val="5EFC32BA"/>
    <w:rsid w:val="5F074BD6"/>
    <w:rsid w:val="5F4C57DE"/>
    <w:rsid w:val="5F767359"/>
    <w:rsid w:val="5FA40E1A"/>
    <w:rsid w:val="5FAE6B95"/>
    <w:rsid w:val="60AD072C"/>
    <w:rsid w:val="60B867A5"/>
    <w:rsid w:val="61A97E4C"/>
    <w:rsid w:val="620F63A8"/>
    <w:rsid w:val="62680D4E"/>
    <w:rsid w:val="63804CC1"/>
    <w:rsid w:val="63CA0901"/>
    <w:rsid w:val="63DC3A6F"/>
    <w:rsid w:val="64535518"/>
    <w:rsid w:val="64A47E04"/>
    <w:rsid w:val="64AE406A"/>
    <w:rsid w:val="64E61465"/>
    <w:rsid w:val="6563453B"/>
    <w:rsid w:val="65A60FF6"/>
    <w:rsid w:val="67573C0D"/>
    <w:rsid w:val="67606103"/>
    <w:rsid w:val="67751640"/>
    <w:rsid w:val="67EB6718"/>
    <w:rsid w:val="68C7713A"/>
    <w:rsid w:val="68F242AC"/>
    <w:rsid w:val="699B4364"/>
    <w:rsid w:val="6ABB4B62"/>
    <w:rsid w:val="6B73082E"/>
    <w:rsid w:val="6BAD0172"/>
    <w:rsid w:val="6BFD669F"/>
    <w:rsid w:val="6CED5510"/>
    <w:rsid w:val="6DD00F51"/>
    <w:rsid w:val="6E130B2A"/>
    <w:rsid w:val="6E5205D8"/>
    <w:rsid w:val="6EDA2E31"/>
    <w:rsid w:val="6FC77BC7"/>
    <w:rsid w:val="70C61C0B"/>
    <w:rsid w:val="70E334F7"/>
    <w:rsid w:val="71D47169"/>
    <w:rsid w:val="720A3FB4"/>
    <w:rsid w:val="72C23FBE"/>
    <w:rsid w:val="72F81C9E"/>
    <w:rsid w:val="733749E1"/>
    <w:rsid w:val="736E3BAB"/>
    <w:rsid w:val="73FB5CCA"/>
    <w:rsid w:val="74324450"/>
    <w:rsid w:val="745C514E"/>
    <w:rsid w:val="75A56425"/>
    <w:rsid w:val="7608190C"/>
    <w:rsid w:val="761362F3"/>
    <w:rsid w:val="77481BE2"/>
    <w:rsid w:val="77915F20"/>
    <w:rsid w:val="782236A8"/>
    <w:rsid w:val="78317136"/>
    <w:rsid w:val="78801057"/>
    <w:rsid w:val="79333014"/>
    <w:rsid w:val="7A0A6456"/>
    <w:rsid w:val="7A82651F"/>
    <w:rsid w:val="7ADE0B82"/>
    <w:rsid w:val="7AED2B21"/>
    <w:rsid w:val="7B3A5C4F"/>
    <w:rsid w:val="7B787240"/>
    <w:rsid w:val="7BB41C66"/>
    <w:rsid w:val="7C605D84"/>
    <w:rsid w:val="7CB85B57"/>
    <w:rsid w:val="7CBB5016"/>
    <w:rsid w:val="7D7B0C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3410</Words>
  <Characters>3659</Characters>
  <Lines>0</Lines>
  <Paragraphs>0</Paragraphs>
  <TotalTime>0</TotalTime>
  <ScaleCrop>false</ScaleCrop>
  <LinksUpToDate>false</LinksUpToDate>
  <CharactersWithSpaces>3786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2022-08-30T08:33:17Z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