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640"/>
        <w:jc w:val="center"/>
        <w:rPr>
          <w:rFonts w:ascii="仿宋" w:hAnsi="仿宋" w:eastAsia="仿宋"/>
          <w:szCs w:val="32"/>
        </w:rPr>
      </w:pPr>
    </w:p>
    <w:p>
      <w:pPr>
        <w:jc w:val="center"/>
        <w:rPr>
          <w:rFonts w:hint="eastAsia" w:ascii="华文中宋" w:hAnsi="华文中宋" w:eastAsia="华文中宋"/>
          <w:sz w:val="44"/>
          <w:szCs w:val="44"/>
        </w:rPr>
      </w:pPr>
      <w:r>
        <w:rPr>
          <w:rFonts w:hint="eastAsia" w:ascii="华文中宋" w:hAnsi="华文中宋" w:eastAsia="华文中宋"/>
          <w:sz w:val="44"/>
          <w:szCs w:val="44"/>
        </w:rPr>
        <w:t>襄汾县看守所2021年度</w:t>
      </w:r>
    </w:p>
    <w:p>
      <w:pPr>
        <w:jc w:val="center"/>
        <w:rPr>
          <w:rFonts w:ascii="华文中宋" w:hAnsi="华文中宋" w:eastAsia="华文中宋"/>
          <w:sz w:val="44"/>
          <w:szCs w:val="44"/>
        </w:rPr>
      </w:pPr>
      <w:r>
        <w:rPr>
          <w:rFonts w:hint="eastAsia" w:ascii="华文中宋" w:hAnsi="华文中宋" w:eastAsia="华文中宋"/>
          <w:sz w:val="44"/>
          <w:szCs w:val="44"/>
          <w:lang w:val="en-US" w:eastAsia="zh-CN"/>
        </w:rPr>
        <w:t>部门</w:t>
      </w:r>
      <w:r>
        <w:rPr>
          <w:rFonts w:hint="eastAsia" w:ascii="华文中宋" w:hAnsi="华文中宋" w:eastAsia="华文中宋"/>
          <w:sz w:val="44"/>
          <w:szCs w:val="44"/>
        </w:rPr>
        <w:t>决算</w:t>
      </w:r>
    </w:p>
    <w:p>
      <w:pPr>
        <w:ind w:firstLine="3960" w:firstLineChars="900"/>
        <w:rPr>
          <w:rFonts w:hint="eastAsia" w:ascii="华文中宋" w:hAnsi="华文中宋" w:eastAsia="华文中宋"/>
          <w:sz w:val="44"/>
          <w:szCs w:val="44"/>
        </w:rPr>
      </w:pPr>
    </w:p>
    <w:p>
      <w:pPr>
        <w:ind w:firstLine="3960" w:firstLineChars="900"/>
        <w:rPr>
          <w:rFonts w:hint="eastAsia" w:ascii="华文中宋" w:hAnsi="华文中宋" w:eastAsia="华文中宋"/>
          <w:sz w:val="44"/>
          <w:szCs w:val="44"/>
        </w:rPr>
      </w:pPr>
      <w:r>
        <w:rPr>
          <w:rFonts w:hint="eastAsia" w:ascii="华文中宋" w:hAnsi="华文中宋" w:eastAsia="华文中宋"/>
          <w:sz w:val="44"/>
          <w:szCs w:val="44"/>
        </w:rPr>
        <w:t>目录</w:t>
      </w:r>
    </w:p>
    <w:p>
      <w:pPr>
        <w:ind w:firstLine="640"/>
        <w:rPr>
          <w:rFonts w:ascii="黑体" w:hAnsi="黑体" w:eastAsia="黑体"/>
          <w:szCs w:val="32"/>
        </w:rPr>
      </w:pPr>
      <w:r>
        <w:rPr>
          <w:rFonts w:hint="eastAsia" w:ascii="黑体" w:hAnsi="黑体" w:eastAsia="黑体"/>
          <w:szCs w:val="32"/>
        </w:rPr>
        <w:t>第一部分  概况</w:t>
      </w:r>
    </w:p>
    <w:p>
      <w:pPr>
        <w:ind w:firstLine="640"/>
        <w:rPr>
          <w:rFonts w:hint="eastAsia" w:ascii="仿宋_GB2312" w:hAnsi="楷体"/>
          <w:szCs w:val="32"/>
        </w:rPr>
      </w:pPr>
      <w:r>
        <w:rPr>
          <w:rFonts w:hint="eastAsia" w:ascii="仿宋_GB2312" w:hAnsi="楷体"/>
          <w:szCs w:val="32"/>
        </w:rPr>
        <w:t>一、本单位职责</w:t>
      </w:r>
    </w:p>
    <w:p>
      <w:pPr>
        <w:ind w:firstLine="640"/>
        <w:rPr>
          <w:rFonts w:hint="eastAsia" w:ascii="仿宋_GB2312" w:hAnsi="楷体"/>
          <w:szCs w:val="32"/>
        </w:rPr>
      </w:pPr>
      <w:r>
        <w:rPr>
          <w:rFonts w:hint="eastAsia" w:ascii="仿宋_GB2312" w:hAnsi="楷体"/>
          <w:szCs w:val="32"/>
        </w:rPr>
        <w:t>二、机构设置情况</w:t>
      </w:r>
    </w:p>
    <w:p>
      <w:pPr>
        <w:ind w:firstLine="640"/>
        <w:rPr>
          <w:rFonts w:hint="eastAsia" w:ascii="黑体" w:hAnsi="黑体" w:eastAsia="黑体"/>
          <w:szCs w:val="32"/>
        </w:rPr>
      </w:pPr>
      <w:r>
        <w:rPr>
          <w:rFonts w:hint="eastAsia" w:ascii="黑体" w:hAnsi="黑体" w:eastAsia="黑体"/>
          <w:szCs w:val="32"/>
        </w:rPr>
        <w:t>第二部分  2021年度部门决算报表</w:t>
      </w:r>
    </w:p>
    <w:p>
      <w:pPr>
        <w:ind w:firstLine="640"/>
        <w:rPr>
          <w:rFonts w:hint="eastAsia" w:ascii="仿宋_GB2312" w:hAnsi="楷体"/>
          <w:szCs w:val="32"/>
        </w:rPr>
      </w:pPr>
      <w:r>
        <w:rPr>
          <w:rFonts w:hint="eastAsia" w:ascii="仿宋_GB2312" w:hAnsi="楷体"/>
          <w:szCs w:val="32"/>
        </w:rPr>
        <w:t>一、收入支出决算总表</w:t>
      </w:r>
    </w:p>
    <w:p>
      <w:pPr>
        <w:ind w:firstLine="640"/>
        <w:rPr>
          <w:rFonts w:hint="eastAsia" w:ascii="仿宋_GB2312" w:hAnsi="楷体"/>
          <w:szCs w:val="32"/>
        </w:rPr>
      </w:pPr>
      <w:r>
        <w:rPr>
          <w:rFonts w:hint="eastAsia" w:ascii="仿宋_GB2312" w:hAnsi="楷体"/>
          <w:szCs w:val="32"/>
        </w:rPr>
        <w:t>二、收入决算表</w:t>
      </w:r>
    </w:p>
    <w:p>
      <w:pPr>
        <w:ind w:firstLine="640"/>
        <w:rPr>
          <w:rFonts w:hint="eastAsia" w:ascii="仿宋_GB2312" w:hAnsi="楷体"/>
          <w:szCs w:val="32"/>
        </w:rPr>
      </w:pPr>
      <w:r>
        <w:rPr>
          <w:rFonts w:hint="eastAsia" w:ascii="仿宋_GB2312" w:hAnsi="楷体"/>
          <w:szCs w:val="32"/>
        </w:rPr>
        <w:t>三、支出决算表</w:t>
      </w:r>
    </w:p>
    <w:p>
      <w:pPr>
        <w:ind w:firstLine="640"/>
        <w:rPr>
          <w:rFonts w:hint="eastAsia" w:ascii="仿宋_GB2312" w:hAnsi="楷体"/>
          <w:szCs w:val="32"/>
        </w:rPr>
      </w:pPr>
      <w:r>
        <w:rPr>
          <w:rFonts w:hint="eastAsia" w:ascii="仿宋_GB2312" w:hAnsi="楷体"/>
          <w:szCs w:val="32"/>
        </w:rPr>
        <w:t>四、财政拨款收入支出决算总表</w:t>
      </w:r>
    </w:p>
    <w:p>
      <w:pPr>
        <w:ind w:firstLine="640"/>
        <w:rPr>
          <w:rFonts w:hint="eastAsia" w:ascii="仿宋_GB2312" w:hAnsi="楷体"/>
          <w:szCs w:val="32"/>
        </w:rPr>
      </w:pPr>
      <w:r>
        <w:rPr>
          <w:rFonts w:hint="eastAsia" w:ascii="仿宋_GB2312" w:hAnsi="楷体"/>
          <w:szCs w:val="32"/>
        </w:rPr>
        <w:t>五、一般公共预算财政拨款支出决算表（一）</w:t>
      </w:r>
    </w:p>
    <w:p>
      <w:pPr>
        <w:ind w:firstLine="640"/>
        <w:rPr>
          <w:rFonts w:hint="eastAsia" w:ascii="仿宋_GB2312" w:hAnsi="楷体"/>
          <w:szCs w:val="32"/>
        </w:rPr>
      </w:pPr>
      <w:r>
        <w:rPr>
          <w:rFonts w:hint="eastAsia" w:ascii="仿宋_GB2312" w:hAnsi="楷体"/>
          <w:szCs w:val="32"/>
        </w:rPr>
        <w:t>六、一般公共预算财政拨款支出决算表（二）</w:t>
      </w:r>
    </w:p>
    <w:p>
      <w:pPr>
        <w:ind w:firstLine="640"/>
        <w:rPr>
          <w:rFonts w:hint="eastAsia" w:ascii="仿宋_GB2312" w:hAnsi="楷体"/>
          <w:szCs w:val="32"/>
        </w:rPr>
      </w:pPr>
      <w:r>
        <w:rPr>
          <w:rFonts w:hint="eastAsia" w:ascii="仿宋_GB2312" w:hAnsi="楷体"/>
          <w:szCs w:val="32"/>
        </w:rPr>
        <w:t>七、一般公共预算财政拨款“三公”经费支出决算表</w:t>
      </w:r>
    </w:p>
    <w:p>
      <w:pPr>
        <w:ind w:firstLine="640"/>
        <w:rPr>
          <w:rFonts w:ascii="仿宋_GB2312" w:hAnsi="楷体"/>
          <w:szCs w:val="32"/>
        </w:rPr>
      </w:pPr>
      <w:r>
        <w:rPr>
          <w:rFonts w:hint="eastAsia" w:ascii="仿宋_GB2312" w:hAnsi="楷体"/>
          <w:szCs w:val="32"/>
        </w:rPr>
        <w:t>八、政府性基金预算财政拨款收入支出决算表</w:t>
      </w:r>
    </w:p>
    <w:p>
      <w:pPr>
        <w:ind w:firstLine="640"/>
        <w:rPr>
          <w:rFonts w:hint="eastAsia" w:ascii="仿宋_GB2312" w:hAnsi="楷体"/>
          <w:szCs w:val="32"/>
        </w:rPr>
      </w:pPr>
      <w:r>
        <w:rPr>
          <w:rFonts w:hint="eastAsia" w:ascii="仿宋_GB2312" w:hAnsi="楷体"/>
          <w:szCs w:val="32"/>
        </w:rPr>
        <w:t>九、国有资本经营预算财政拨款支出决算表</w:t>
      </w:r>
    </w:p>
    <w:p>
      <w:pPr>
        <w:ind w:firstLine="640"/>
        <w:rPr>
          <w:rFonts w:hint="eastAsia" w:ascii="仿宋_GB2312" w:hAnsi="楷体"/>
          <w:szCs w:val="32"/>
        </w:rPr>
      </w:pPr>
      <w:r>
        <w:rPr>
          <w:rFonts w:hint="eastAsia" w:ascii="仿宋_GB2312" w:hAnsi="楷体"/>
          <w:szCs w:val="32"/>
        </w:rPr>
        <w:t>十、部门决算公开相关信息统计表</w:t>
      </w:r>
    </w:p>
    <w:p>
      <w:pPr>
        <w:ind w:firstLine="640"/>
        <w:rPr>
          <w:rFonts w:hint="eastAsia" w:ascii="黑体" w:hAnsi="黑体" w:eastAsia="黑体"/>
          <w:szCs w:val="32"/>
        </w:rPr>
      </w:pPr>
      <w:r>
        <w:rPr>
          <w:rFonts w:hint="eastAsia" w:ascii="黑体" w:hAnsi="黑体" w:eastAsia="黑体"/>
          <w:szCs w:val="32"/>
        </w:rPr>
        <w:t>第三部分  2021年度部门决算情况说明</w:t>
      </w:r>
    </w:p>
    <w:p>
      <w:pPr>
        <w:ind w:firstLine="640"/>
        <w:rPr>
          <w:rFonts w:hint="eastAsia" w:ascii="仿宋_GB2312"/>
          <w:bCs/>
          <w:szCs w:val="32"/>
        </w:rPr>
      </w:pPr>
      <w:r>
        <w:rPr>
          <w:rFonts w:hint="eastAsia" w:ascii="仿宋_GB2312"/>
          <w:bCs/>
          <w:szCs w:val="32"/>
        </w:rPr>
        <w:t>一、收入支出决算总体情况说明</w:t>
      </w:r>
    </w:p>
    <w:p>
      <w:pPr>
        <w:spacing w:line="580" w:lineRule="exact"/>
        <w:ind w:firstLine="640"/>
        <w:outlineLvl w:val="0"/>
        <w:rPr>
          <w:rFonts w:hint="eastAsia" w:ascii="仿宋_GB2312"/>
          <w:bCs/>
          <w:szCs w:val="32"/>
        </w:rPr>
      </w:pPr>
      <w:r>
        <w:rPr>
          <w:rFonts w:hint="eastAsia" w:ascii="仿宋_GB2312"/>
          <w:bCs/>
          <w:szCs w:val="32"/>
        </w:rPr>
        <w:t>二、收入决算情况说明</w:t>
      </w:r>
    </w:p>
    <w:p>
      <w:pPr>
        <w:spacing w:line="580" w:lineRule="exact"/>
        <w:ind w:firstLine="640"/>
        <w:rPr>
          <w:rFonts w:hint="eastAsia" w:ascii="仿宋_GB2312"/>
          <w:bCs/>
          <w:szCs w:val="32"/>
        </w:rPr>
      </w:pPr>
      <w:r>
        <w:rPr>
          <w:rFonts w:hint="eastAsia" w:ascii="仿宋_GB2312"/>
          <w:bCs/>
          <w:szCs w:val="32"/>
        </w:rPr>
        <w:t>三、支出决算情况说明</w:t>
      </w:r>
    </w:p>
    <w:p>
      <w:pPr>
        <w:spacing w:line="580" w:lineRule="exact"/>
        <w:ind w:firstLine="640"/>
        <w:rPr>
          <w:rFonts w:hint="eastAsia" w:ascii="仿宋_GB2312"/>
          <w:bCs/>
          <w:szCs w:val="32"/>
        </w:rPr>
      </w:pPr>
      <w:r>
        <w:rPr>
          <w:rFonts w:hint="eastAsia" w:ascii="仿宋_GB2312"/>
          <w:bCs/>
          <w:szCs w:val="32"/>
        </w:rPr>
        <w:t>四、财政拨款收入支出决算总体情况说明</w:t>
      </w:r>
    </w:p>
    <w:p>
      <w:pPr>
        <w:spacing w:line="580" w:lineRule="exact"/>
        <w:ind w:firstLine="640"/>
        <w:rPr>
          <w:rFonts w:hint="eastAsia" w:ascii="仿宋_GB2312"/>
          <w:bCs/>
          <w:szCs w:val="32"/>
        </w:rPr>
      </w:pPr>
      <w:r>
        <w:rPr>
          <w:rFonts w:hint="eastAsia" w:ascii="仿宋_GB2312"/>
          <w:bCs/>
          <w:szCs w:val="32"/>
        </w:rPr>
        <w:t>五、一般公共预算财政拨款支出决算情况说明</w:t>
      </w:r>
    </w:p>
    <w:p>
      <w:pPr>
        <w:spacing w:line="580" w:lineRule="exact"/>
        <w:ind w:firstLine="640"/>
        <w:rPr>
          <w:bCs/>
          <w:szCs w:val="32"/>
        </w:rPr>
      </w:pPr>
      <w:r>
        <w:rPr>
          <w:rFonts w:hint="eastAsia"/>
          <w:bCs/>
          <w:szCs w:val="32"/>
        </w:rPr>
        <w:t>六、一般公共预算</w:t>
      </w:r>
      <w:r>
        <w:rPr>
          <w:bCs/>
          <w:szCs w:val="32"/>
        </w:rPr>
        <w:t>财政拨款基本支出决算情况说明</w:t>
      </w:r>
    </w:p>
    <w:p>
      <w:pPr>
        <w:spacing w:line="580" w:lineRule="exact"/>
        <w:ind w:firstLine="640"/>
        <w:outlineLvl w:val="0"/>
        <w:rPr>
          <w:rFonts w:hint="eastAsia" w:ascii="仿宋_GB2312"/>
          <w:bCs/>
          <w:szCs w:val="32"/>
        </w:rPr>
      </w:pPr>
      <w:r>
        <w:rPr>
          <w:rFonts w:hint="eastAsia" w:ascii="仿宋_GB2312"/>
          <w:bCs/>
          <w:szCs w:val="32"/>
        </w:rPr>
        <w:t>七、一般公共预算财政拨款“三公”经费支出决算情况说明</w:t>
      </w:r>
    </w:p>
    <w:p>
      <w:pPr>
        <w:spacing w:line="580" w:lineRule="exact"/>
        <w:ind w:firstLine="640"/>
        <w:rPr>
          <w:rFonts w:hint="eastAsia" w:ascii="黑体" w:hAnsi="黑体" w:eastAsia="黑体"/>
          <w:szCs w:val="32"/>
        </w:rPr>
      </w:pPr>
      <w:r>
        <w:rPr>
          <w:rFonts w:hint="eastAsia"/>
          <w:bCs/>
          <w:szCs w:val="32"/>
        </w:rPr>
        <w:t>八、其他重要事项情况说明</w:t>
      </w:r>
    </w:p>
    <w:p>
      <w:pPr>
        <w:ind w:firstLine="640"/>
        <w:rPr>
          <w:rFonts w:ascii="黑体" w:hAnsi="黑体" w:eastAsia="黑体"/>
          <w:szCs w:val="32"/>
        </w:rPr>
      </w:pPr>
      <w:r>
        <w:rPr>
          <w:rFonts w:hint="eastAsia" w:ascii="黑体" w:hAnsi="黑体" w:eastAsia="黑体"/>
          <w:szCs w:val="32"/>
        </w:rPr>
        <w:t xml:space="preserve">第四部分 </w:t>
      </w:r>
      <w:r>
        <w:rPr>
          <w:rFonts w:ascii="黑体" w:hAnsi="黑体" w:eastAsia="黑体"/>
          <w:szCs w:val="32"/>
        </w:rPr>
        <w:t xml:space="preserve"> </w:t>
      </w:r>
      <w:r>
        <w:rPr>
          <w:rFonts w:hint="eastAsia" w:ascii="黑体" w:hAnsi="黑体" w:eastAsia="黑体"/>
          <w:szCs w:val="32"/>
        </w:rPr>
        <w:t>名词解释</w:t>
      </w:r>
    </w:p>
    <w:p>
      <w:pPr>
        <w:ind w:firstLine="640"/>
        <w:rPr>
          <w:rFonts w:ascii="黑体" w:hAnsi="黑体" w:eastAsia="黑体"/>
          <w:szCs w:val="32"/>
        </w:rPr>
      </w:pPr>
      <w:r>
        <w:rPr>
          <w:rFonts w:hint="eastAsia" w:ascii="黑体" w:hAnsi="黑体" w:eastAsia="黑体"/>
          <w:szCs w:val="32"/>
        </w:rPr>
        <w:t xml:space="preserve">第五部分 </w:t>
      </w:r>
      <w:r>
        <w:rPr>
          <w:rFonts w:ascii="黑体" w:hAnsi="黑体" w:eastAsia="黑体"/>
          <w:szCs w:val="32"/>
        </w:rPr>
        <w:t xml:space="preserve"> </w:t>
      </w:r>
      <w:r>
        <w:rPr>
          <w:rFonts w:hint="eastAsia" w:ascii="黑体" w:hAnsi="黑体" w:eastAsia="黑体"/>
          <w:szCs w:val="32"/>
        </w:rPr>
        <w:t>附件</w:t>
      </w:r>
    </w:p>
    <w:p>
      <w:pPr>
        <w:ind w:firstLine="640"/>
        <w:rPr>
          <w:rFonts w:hint="eastAsia" w:ascii="黑体" w:hAnsi="黑体" w:eastAsia="黑体"/>
          <w:szCs w:val="32"/>
        </w:rPr>
      </w:pPr>
    </w:p>
    <w:p>
      <w:pPr>
        <w:ind w:firstLine="640"/>
        <w:rPr>
          <w:rFonts w:hint="eastAsia" w:ascii="黑体" w:hAnsi="黑体" w:eastAsia="黑体"/>
          <w:szCs w:val="32"/>
        </w:rPr>
      </w:pPr>
    </w:p>
    <w:p>
      <w:pPr>
        <w:ind w:firstLine="640"/>
        <w:rPr>
          <w:rFonts w:hint="eastAsia" w:ascii="黑体" w:hAnsi="黑体" w:eastAsia="黑体"/>
          <w:szCs w:val="32"/>
        </w:rPr>
      </w:pPr>
    </w:p>
    <w:p>
      <w:pPr>
        <w:ind w:firstLine="640"/>
        <w:rPr>
          <w:rFonts w:hint="eastAsia" w:ascii="黑体" w:hAnsi="黑体" w:eastAsia="黑体"/>
          <w:szCs w:val="32"/>
        </w:rPr>
      </w:pPr>
    </w:p>
    <w:p>
      <w:pPr>
        <w:ind w:firstLine="640"/>
        <w:rPr>
          <w:rFonts w:hint="eastAsia" w:ascii="黑体" w:hAnsi="黑体" w:eastAsia="黑体"/>
          <w:szCs w:val="32"/>
        </w:rPr>
      </w:pPr>
    </w:p>
    <w:p>
      <w:pPr>
        <w:ind w:firstLine="640"/>
        <w:rPr>
          <w:rFonts w:hint="eastAsia" w:ascii="黑体" w:hAnsi="黑体" w:eastAsia="黑体"/>
          <w:szCs w:val="32"/>
        </w:rPr>
      </w:pPr>
    </w:p>
    <w:p>
      <w:pPr>
        <w:ind w:firstLine="640"/>
        <w:rPr>
          <w:rFonts w:hint="eastAsia" w:ascii="黑体" w:hAnsi="黑体" w:eastAsia="黑体"/>
          <w:szCs w:val="32"/>
        </w:rPr>
      </w:pPr>
    </w:p>
    <w:p>
      <w:pPr>
        <w:ind w:firstLine="640"/>
        <w:rPr>
          <w:rFonts w:hint="eastAsia" w:ascii="黑体" w:hAnsi="黑体" w:eastAsia="黑体"/>
          <w:szCs w:val="32"/>
        </w:rPr>
      </w:pPr>
    </w:p>
    <w:p>
      <w:pPr>
        <w:ind w:firstLine="640"/>
        <w:rPr>
          <w:rFonts w:hint="eastAsia" w:ascii="黑体" w:hAnsi="黑体" w:eastAsia="黑体"/>
          <w:szCs w:val="32"/>
        </w:rPr>
      </w:pPr>
    </w:p>
    <w:p>
      <w:pPr>
        <w:ind w:firstLine="640"/>
        <w:rPr>
          <w:rFonts w:hint="eastAsia" w:ascii="黑体" w:hAnsi="黑体" w:eastAsia="黑体"/>
          <w:szCs w:val="32"/>
        </w:rPr>
      </w:pPr>
    </w:p>
    <w:p>
      <w:pPr>
        <w:ind w:firstLine="640"/>
        <w:rPr>
          <w:rFonts w:hint="eastAsia" w:ascii="黑体" w:hAnsi="黑体" w:eastAsia="黑体"/>
          <w:szCs w:val="32"/>
        </w:rPr>
      </w:pPr>
    </w:p>
    <w:p>
      <w:pPr>
        <w:ind w:firstLine="640"/>
        <w:rPr>
          <w:rFonts w:hint="eastAsia" w:ascii="黑体" w:hAnsi="黑体" w:eastAsia="黑体"/>
          <w:szCs w:val="32"/>
        </w:rPr>
      </w:pPr>
    </w:p>
    <w:p>
      <w:pPr>
        <w:ind w:firstLine="640"/>
        <w:rPr>
          <w:rFonts w:ascii="黑体" w:hAnsi="黑体" w:eastAsia="黑体"/>
          <w:szCs w:val="32"/>
        </w:rPr>
      </w:pPr>
      <w:r>
        <w:rPr>
          <w:rFonts w:hint="eastAsia" w:ascii="黑体" w:hAnsi="黑体" w:eastAsia="黑体"/>
          <w:szCs w:val="32"/>
        </w:rPr>
        <w:t>第一部分  概况</w:t>
      </w:r>
    </w:p>
    <w:p>
      <w:pPr>
        <w:ind w:firstLine="640"/>
        <w:rPr>
          <w:rFonts w:hint="eastAsia" w:ascii="仿宋_GB2312" w:hAnsi="仿宋_GB2312" w:cs="仿宋_GB2312"/>
          <w:szCs w:val="32"/>
        </w:rPr>
      </w:pPr>
      <w:r>
        <w:rPr>
          <w:rFonts w:hint="eastAsia" w:ascii="仿宋_GB2312" w:hAnsi="楷体"/>
          <w:szCs w:val="32"/>
        </w:rPr>
        <w:t>一、本单位职责:</w:t>
      </w:r>
      <w:r>
        <w:rPr>
          <w:rFonts w:hint="eastAsia" w:ascii="仿宋_GB2312" w:hAnsi="仿宋_GB2312" w:cs="仿宋_GB2312"/>
          <w:color w:val="000000"/>
          <w:kern w:val="0"/>
          <w:szCs w:val="32"/>
        </w:rPr>
        <w:t xml:space="preserve"> </w:t>
      </w:r>
      <w:r>
        <w:rPr>
          <w:rFonts w:hint="eastAsia" w:ascii="仿宋_GB2312" w:hAnsi="仿宋_GB2312" w:cs="仿宋_GB2312"/>
          <w:szCs w:val="30"/>
        </w:rPr>
        <w:t>襄汾县看守所是行政单位，是根据《中华人民共和国看守所条例》依法设立的刑事羁押场所。</w:t>
      </w:r>
    </w:p>
    <w:p>
      <w:pPr>
        <w:ind w:firstLine="640"/>
        <w:rPr>
          <w:rFonts w:hint="eastAsia" w:ascii="仿宋_GB2312" w:hAnsi="楷体"/>
          <w:szCs w:val="32"/>
        </w:rPr>
      </w:pPr>
      <w:r>
        <w:rPr>
          <w:rFonts w:hint="eastAsia" w:ascii="仿宋_GB2312" w:hAnsi="楷体"/>
          <w:szCs w:val="32"/>
        </w:rPr>
        <w:t>二、机构设置情况:</w:t>
      </w:r>
      <w:r>
        <w:rPr>
          <w:rFonts w:hint="eastAsia" w:ascii="仿宋_GB2312" w:hAnsi="仿宋_GB2312" w:cs="仿宋_GB2312"/>
          <w:color w:val="000000"/>
          <w:kern w:val="0"/>
          <w:szCs w:val="32"/>
        </w:rPr>
        <w:t xml:space="preserve"> </w:t>
      </w:r>
      <w:r>
        <w:rPr>
          <w:rFonts w:hint="eastAsia" w:ascii="仿宋_GB2312" w:hAnsi="楷体"/>
          <w:szCs w:val="32"/>
        </w:rPr>
        <w:t>没有设置内设机构，编制5人，</w:t>
      </w:r>
      <w:r>
        <w:rPr>
          <w:rFonts w:hint="eastAsia" w:ascii="仿宋_GB2312" w:hAnsi="仿宋_GB2312" w:cs="仿宋_GB2312"/>
          <w:szCs w:val="30"/>
        </w:rPr>
        <w:t>实有民警人数5人。</w:t>
      </w:r>
    </w:p>
    <w:p>
      <w:pPr>
        <w:ind w:firstLine="640"/>
        <w:rPr>
          <w:rFonts w:hint="eastAsia" w:ascii="黑体" w:hAnsi="黑体" w:eastAsia="黑体"/>
          <w:szCs w:val="32"/>
        </w:rPr>
      </w:pPr>
      <w:r>
        <w:rPr>
          <w:rFonts w:hint="eastAsia" w:ascii="黑体" w:hAnsi="黑体" w:eastAsia="黑体"/>
          <w:szCs w:val="32"/>
        </w:rPr>
        <w:t>第二部分  2021年度部门决算报表</w:t>
      </w:r>
    </w:p>
    <w:p>
      <w:pPr>
        <w:ind w:firstLine="640"/>
        <w:rPr>
          <w:rFonts w:hint="eastAsia" w:ascii="仿宋_GB2312" w:hAnsi="楷体"/>
          <w:szCs w:val="32"/>
        </w:rPr>
      </w:pPr>
      <w:r>
        <w:rPr>
          <w:rFonts w:hint="eastAsia" w:ascii="仿宋_GB2312" w:hAnsi="楷体"/>
          <w:szCs w:val="32"/>
        </w:rPr>
        <w:t>一、收入支出决算总表</w:t>
      </w:r>
    </w:p>
    <w:p>
      <w:pPr>
        <w:ind w:firstLine="640"/>
        <w:rPr>
          <w:rFonts w:hint="eastAsia" w:ascii="仿宋_GB2312" w:hAnsi="楷体"/>
          <w:szCs w:val="32"/>
        </w:rPr>
      </w:pPr>
      <w:r>
        <w:rPr>
          <w:rFonts w:hint="eastAsia" w:ascii="仿宋_GB2312" w:hAnsi="楷体"/>
          <w:szCs w:val="32"/>
        </w:rPr>
        <w:t>二、收入决算表</w:t>
      </w:r>
    </w:p>
    <w:p>
      <w:pPr>
        <w:ind w:firstLine="640"/>
        <w:rPr>
          <w:rFonts w:hint="eastAsia" w:ascii="仿宋_GB2312" w:hAnsi="楷体"/>
          <w:szCs w:val="32"/>
        </w:rPr>
      </w:pPr>
      <w:r>
        <w:rPr>
          <w:rFonts w:hint="eastAsia" w:ascii="仿宋_GB2312" w:hAnsi="楷体"/>
          <w:szCs w:val="32"/>
        </w:rPr>
        <w:t>三、支出决算表</w:t>
      </w:r>
    </w:p>
    <w:p>
      <w:pPr>
        <w:ind w:firstLine="640"/>
        <w:rPr>
          <w:rFonts w:hint="eastAsia" w:ascii="仿宋_GB2312" w:hAnsi="楷体"/>
          <w:szCs w:val="32"/>
        </w:rPr>
      </w:pPr>
      <w:r>
        <w:rPr>
          <w:rFonts w:hint="eastAsia" w:ascii="仿宋_GB2312" w:hAnsi="楷体"/>
          <w:szCs w:val="32"/>
        </w:rPr>
        <w:t>四、财政拨款收入支出决算总表</w:t>
      </w:r>
    </w:p>
    <w:p>
      <w:pPr>
        <w:ind w:firstLine="640"/>
        <w:rPr>
          <w:rFonts w:hint="eastAsia" w:ascii="仿宋_GB2312" w:hAnsi="楷体"/>
          <w:szCs w:val="32"/>
        </w:rPr>
      </w:pPr>
      <w:r>
        <w:rPr>
          <w:rFonts w:hint="eastAsia" w:ascii="仿宋_GB2312" w:hAnsi="楷体"/>
          <w:szCs w:val="32"/>
        </w:rPr>
        <w:t>五、一般公共预算财政拨款支出决算表（一）</w:t>
      </w:r>
    </w:p>
    <w:p>
      <w:pPr>
        <w:ind w:firstLine="640"/>
        <w:rPr>
          <w:rFonts w:hint="eastAsia" w:ascii="仿宋_GB2312" w:hAnsi="楷体"/>
          <w:szCs w:val="32"/>
        </w:rPr>
      </w:pPr>
      <w:r>
        <w:rPr>
          <w:rFonts w:hint="eastAsia" w:ascii="仿宋_GB2312" w:hAnsi="楷体"/>
          <w:szCs w:val="32"/>
        </w:rPr>
        <w:t>六、一般公共预算财政拨款支出决算表（二）</w:t>
      </w:r>
    </w:p>
    <w:p>
      <w:pPr>
        <w:ind w:firstLine="640"/>
        <w:rPr>
          <w:rFonts w:hint="eastAsia" w:ascii="仿宋_GB2312" w:hAnsi="楷体"/>
          <w:szCs w:val="32"/>
        </w:rPr>
      </w:pPr>
      <w:r>
        <w:rPr>
          <w:rFonts w:hint="eastAsia" w:ascii="仿宋_GB2312" w:hAnsi="楷体"/>
          <w:szCs w:val="32"/>
        </w:rPr>
        <w:t>七、一般公共预算财政拨款“三公”经费支出决算表</w:t>
      </w:r>
    </w:p>
    <w:p>
      <w:pPr>
        <w:ind w:firstLine="640"/>
        <w:rPr>
          <w:rFonts w:ascii="仿宋_GB2312" w:hAnsi="楷体"/>
          <w:szCs w:val="32"/>
        </w:rPr>
      </w:pPr>
      <w:r>
        <w:rPr>
          <w:rFonts w:hint="eastAsia" w:ascii="仿宋_GB2312" w:hAnsi="楷体"/>
          <w:szCs w:val="32"/>
        </w:rPr>
        <w:t>八、政府性基金预算财政拨款收入支出决算表</w:t>
      </w:r>
    </w:p>
    <w:p>
      <w:pPr>
        <w:ind w:firstLine="640"/>
        <w:rPr>
          <w:rFonts w:hint="eastAsia" w:ascii="仿宋_GB2312" w:hAnsi="楷体"/>
          <w:szCs w:val="32"/>
        </w:rPr>
      </w:pPr>
      <w:r>
        <w:rPr>
          <w:rFonts w:hint="eastAsia" w:ascii="仿宋_GB2312" w:hAnsi="楷体"/>
          <w:szCs w:val="32"/>
        </w:rPr>
        <w:t>九、国有资本经营预算财政拨款支出决算表</w:t>
      </w:r>
    </w:p>
    <w:p>
      <w:pPr>
        <w:ind w:firstLine="640"/>
        <w:rPr>
          <w:rFonts w:hint="eastAsia" w:ascii="仿宋_GB2312" w:hAnsi="楷体"/>
          <w:szCs w:val="32"/>
        </w:rPr>
      </w:pPr>
      <w:r>
        <w:rPr>
          <w:rFonts w:hint="eastAsia" w:ascii="仿宋_GB2312" w:hAnsi="楷体"/>
          <w:szCs w:val="32"/>
        </w:rPr>
        <w:t>十、部门决算公开相关信息统计表</w:t>
      </w:r>
    </w:p>
    <w:p>
      <w:pPr>
        <w:ind w:firstLine="640"/>
        <w:rPr>
          <w:rFonts w:ascii="黑体" w:hAnsi="黑体" w:eastAsia="黑体"/>
          <w:szCs w:val="32"/>
        </w:rPr>
      </w:pPr>
      <w:r>
        <w:rPr>
          <w:rFonts w:hint="eastAsia" w:ascii="黑体" w:hAnsi="黑体" w:eastAsia="黑体"/>
          <w:szCs w:val="32"/>
        </w:rPr>
        <w:t>第三部分  2021年度部门决算情况说明</w:t>
      </w:r>
    </w:p>
    <w:p>
      <w:pPr>
        <w:ind w:firstLine="643"/>
        <w:rPr>
          <w:rFonts w:hint="eastAsia" w:ascii="仿宋_GB2312"/>
          <w:b/>
          <w:szCs w:val="32"/>
        </w:rPr>
      </w:pPr>
      <w:r>
        <w:rPr>
          <w:rFonts w:hint="eastAsia" w:ascii="仿宋_GB2312"/>
          <w:b/>
          <w:szCs w:val="32"/>
        </w:rPr>
        <w:t>一、收入支出决算总体情况说明</w:t>
      </w:r>
    </w:p>
    <w:p>
      <w:pPr>
        <w:ind w:firstLine="640"/>
        <w:rPr>
          <w:rFonts w:hint="eastAsia" w:ascii="仿宋_GB2312"/>
          <w:szCs w:val="32"/>
        </w:rPr>
      </w:pPr>
      <w:r>
        <w:rPr>
          <w:rFonts w:hint="eastAsia" w:ascii="仿宋_GB2312"/>
          <w:szCs w:val="32"/>
        </w:rPr>
        <w:t>2021年度收入</w:t>
      </w:r>
      <w:r>
        <w:rPr>
          <w:rFonts w:ascii="仿宋_GB2312"/>
          <w:szCs w:val="32"/>
        </w:rPr>
        <w:t>总计</w:t>
      </w:r>
      <w:r>
        <w:rPr>
          <w:rFonts w:hint="eastAsia" w:ascii="仿宋_GB2312"/>
          <w:szCs w:val="32"/>
        </w:rPr>
        <w:t>205.5万元、支出总计205.5万元。与2020年相比，收入总计增加44.5万元，增加27.7%，</w:t>
      </w:r>
      <w:r>
        <w:rPr>
          <w:rFonts w:ascii="仿宋_GB2312"/>
          <w:szCs w:val="32"/>
        </w:rPr>
        <w:t>支出总计</w:t>
      </w:r>
      <w:r>
        <w:rPr>
          <w:rFonts w:hint="eastAsia" w:ascii="仿宋_GB2312"/>
          <w:szCs w:val="32"/>
        </w:rPr>
        <w:t>增加45.1万元</w:t>
      </w:r>
      <w:r>
        <w:rPr>
          <w:rFonts w:ascii="仿宋_GB2312"/>
          <w:szCs w:val="32"/>
        </w:rPr>
        <w:t>，</w:t>
      </w:r>
      <w:r>
        <w:rPr>
          <w:rFonts w:hint="eastAsia" w:ascii="仿宋_GB2312"/>
          <w:szCs w:val="32"/>
        </w:rPr>
        <w:t>增加28.1</w:t>
      </w:r>
      <w:r>
        <w:rPr>
          <w:rFonts w:ascii="仿宋_GB2312"/>
          <w:szCs w:val="32"/>
        </w:rPr>
        <w:t>%</w:t>
      </w:r>
      <w:r>
        <w:rPr>
          <w:rFonts w:hint="eastAsia" w:ascii="仿宋_GB2312"/>
          <w:szCs w:val="32"/>
        </w:rPr>
        <w:t>。主要原因是民警工资原由公安局发放，自2021年起由看守所发放。</w:t>
      </w:r>
    </w:p>
    <w:p>
      <w:pPr>
        <w:spacing w:line="580" w:lineRule="exact"/>
        <w:ind w:firstLine="643"/>
        <w:outlineLvl w:val="0"/>
        <w:rPr>
          <w:rFonts w:hint="eastAsia" w:ascii="仿宋_GB2312"/>
          <w:b/>
          <w:szCs w:val="32"/>
        </w:rPr>
      </w:pPr>
      <w:r>
        <w:rPr>
          <w:rFonts w:hint="eastAsia" w:ascii="仿宋_GB2312"/>
          <w:b/>
          <w:szCs w:val="32"/>
        </w:rPr>
        <w:t>二、收入决算情况说明</w:t>
      </w:r>
    </w:p>
    <w:p>
      <w:pPr>
        <w:spacing w:line="580" w:lineRule="exact"/>
        <w:ind w:firstLine="640"/>
        <w:rPr>
          <w:rFonts w:ascii="仿宋_GB2312"/>
          <w:szCs w:val="32"/>
        </w:rPr>
      </w:pPr>
      <w:r>
        <w:rPr>
          <w:rFonts w:hint="eastAsia" w:ascii="仿宋_GB2312"/>
          <w:szCs w:val="32"/>
        </w:rPr>
        <w:t>2021年度收入合计205.5万元，其中：财政拨款收入205.5万元，占比100%。</w:t>
      </w:r>
    </w:p>
    <w:p>
      <w:pPr>
        <w:spacing w:line="580" w:lineRule="exact"/>
        <w:ind w:firstLine="643"/>
        <w:rPr>
          <w:rFonts w:hint="eastAsia" w:ascii="仿宋_GB2312"/>
          <w:b/>
          <w:szCs w:val="32"/>
        </w:rPr>
      </w:pPr>
      <w:r>
        <w:rPr>
          <w:rFonts w:hint="eastAsia" w:ascii="仿宋_GB2312"/>
          <w:b/>
          <w:szCs w:val="32"/>
        </w:rPr>
        <w:t>三、支出决算情况说明</w:t>
      </w:r>
    </w:p>
    <w:p>
      <w:pPr>
        <w:spacing w:line="580" w:lineRule="exact"/>
        <w:ind w:firstLine="640"/>
        <w:rPr>
          <w:rFonts w:hint="eastAsia" w:ascii="仿宋_GB2312"/>
          <w:szCs w:val="32"/>
        </w:rPr>
      </w:pPr>
      <w:r>
        <w:rPr>
          <w:rFonts w:hint="eastAsia" w:ascii="仿宋_GB2312"/>
          <w:szCs w:val="32"/>
        </w:rPr>
        <w:t>2021年度支出合计205.5万元，其中：基本支出75.6万元，占比36.8%；项目支出129.8万元，占比63.2%。</w:t>
      </w:r>
    </w:p>
    <w:p>
      <w:pPr>
        <w:spacing w:line="580" w:lineRule="exact"/>
        <w:ind w:firstLine="643"/>
        <w:rPr>
          <w:rFonts w:hint="eastAsia" w:ascii="仿宋_GB2312"/>
          <w:b/>
          <w:szCs w:val="32"/>
        </w:rPr>
      </w:pPr>
      <w:r>
        <w:rPr>
          <w:rFonts w:hint="eastAsia" w:ascii="仿宋_GB2312"/>
          <w:b/>
          <w:szCs w:val="32"/>
        </w:rPr>
        <w:t>四、财政拨款收入支出决算总体情况说明</w:t>
      </w:r>
    </w:p>
    <w:p>
      <w:pPr>
        <w:ind w:firstLine="640"/>
        <w:rPr>
          <w:rFonts w:hint="eastAsia" w:ascii="仿宋_GB2312"/>
          <w:szCs w:val="32"/>
        </w:rPr>
      </w:pPr>
      <w:r>
        <w:rPr>
          <w:rFonts w:hint="eastAsia" w:ascii="仿宋_GB2312"/>
          <w:szCs w:val="32"/>
        </w:rPr>
        <w:t>2021年度财政拨款收入</w:t>
      </w:r>
      <w:r>
        <w:rPr>
          <w:rFonts w:ascii="仿宋_GB2312"/>
          <w:szCs w:val="32"/>
        </w:rPr>
        <w:t>总计</w:t>
      </w:r>
      <w:r>
        <w:rPr>
          <w:rFonts w:hint="eastAsia" w:ascii="仿宋_GB2312"/>
          <w:szCs w:val="32"/>
        </w:rPr>
        <w:t>205.5万元、支出总计205.5万元。与2020年相比，财政拨款收入总计增加44.5万元，增加27.7%，财政拨款</w:t>
      </w:r>
      <w:r>
        <w:rPr>
          <w:rFonts w:ascii="仿宋_GB2312"/>
          <w:szCs w:val="32"/>
        </w:rPr>
        <w:t>支出总计</w:t>
      </w:r>
      <w:r>
        <w:rPr>
          <w:rFonts w:hint="eastAsia" w:ascii="仿宋_GB2312"/>
          <w:szCs w:val="32"/>
        </w:rPr>
        <w:t>增加45.1万元</w:t>
      </w:r>
      <w:r>
        <w:rPr>
          <w:rFonts w:ascii="仿宋_GB2312"/>
          <w:szCs w:val="32"/>
        </w:rPr>
        <w:t>，</w:t>
      </w:r>
      <w:r>
        <w:rPr>
          <w:rFonts w:hint="eastAsia" w:ascii="仿宋_GB2312"/>
          <w:szCs w:val="32"/>
        </w:rPr>
        <w:t>增加28.1</w:t>
      </w:r>
      <w:r>
        <w:rPr>
          <w:rFonts w:ascii="仿宋_GB2312"/>
          <w:szCs w:val="32"/>
        </w:rPr>
        <w:t>%</w:t>
      </w:r>
      <w:r>
        <w:rPr>
          <w:rFonts w:hint="eastAsia" w:ascii="仿宋_GB2312"/>
          <w:szCs w:val="32"/>
        </w:rPr>
        <w:t>。主要原因是民警工资原由公安局发放，自2021年起由看守所发放。</w:t>
      </w:r>
    </w:p>
    <w:p>
      <w:pPr>
        <w:spacing w:line="580" w:lineRule="exact"/>
        <w:ind w:firstLine="643"/>
        <w:rPr>
          <w:rFonts w:hint="eastAsia" w:ascii="仿宋_GB2312"/>
          <w:b/>
          <w:szCs w:val="32"/>
        </w:rPr>
      </w:pPr>
      <w:r>
        <w:rPr>
          <w:rFonts w:hint="eastAsia" w:ascii="仿宋_GB2312"/>
          <w:b/>
          <w:szCs w:val="32"/>
        </w:rPr>
        <w:t>五、一般公共预算财政拨款支出决算情况说明</w:t>
      </w:r>
    </w:p>
    <w:p>
      <w:pPr>
        <w:spacing w:line="580" w:lineRule="exact"/>
        <w:ind w:firstLine="643"/>
        <w:rPr>
          <w:rFonts w:hint="eastAsia" w:ascii="仿宋_GB2312"/>
          <w:b/>
          <w:szCs w:val="32"/>
        </w:rPr>
      </w:pPr>
      <w:r>
        <w:rPr>
          <w:rFonts w:hint="eastAsia" w:ascii="仿宋_GB2312"/>
          <w:b/>
          <w:szCs w:val="32"/>
        </w:rPr>
        <w:t>（一）财政拨款支出决算总体情况</w:t>
      </w:r>
    </w:p>
    <w:p>
      <w:pPr>
        <w:ind w:firstLine="640"/>
        <w:rPr>
          <w:rFonts w:ascii="仿宋_GB2312"/>
          <w:szCs w:val="32"/>
        </w:rPr>
      </w:pPr>
      <w:r>
        <w:rPr>
          <w:rFonts w:hint="eastAsia" w:ascii="仿宋_GB2312"/>
          <w:szCs w:val="32"/>
        </w:rPr>
        <w:t>2021年度财政拨款支出205.5万元，占本年支出合计的100%。与2020年相比，财政拨款支出增加45.1万元，增加28.1</w:t>
      </w:r>
      <w:r>
        <w:rPr>
          <w:rFonts w:ascii="仿宋_GB2312"/>
          <w:szCs w:val="32"/>
        </w:rPr>
        <w:t>%</w:t>
      </w:r>
      <w:r>
        <w:rPr>
          <w:rFonts w:hint="eastAsia" w:ascii="仿宋_GB2312"/>
          <w:szCs w:val="32"/>
        </w:rPr>
        <w:t>。主要原因是民警工资原由公安局发放，自2021年起由看守所发放。其中，人员经费59.4万元，占比28.9%，日常公用经费16.3万元，占比7.9%。</w:t>
      </w:r>
    </w:p>
    <w:p>
      <w:pPr>
        <w:spacing w:line="580" w:lineRule="exact"/>
        <w:ind w:firstLine="643"/>
        <w:rPr>
          <w:rFonts w:ascii="仿宋_GB2312"/>
          <w:b/>
          <w:szCs w:val="32"/>
        </w:rPr>
      </w:pPr>
      <w:r>
        <w:rPr>
          <w:rFonts w:hint="eastAsia" w:ascii="仿宋_GB2312"/>
          <w:b/>
          <w:szCs w:val="32"/>
        </w:rPr>
        <w:t>（二）财政拨款</w:t>
      </w:r>
      <w:r>
        <w:rPr>
          <w:rFonts w:ascii="仿宋_GB2312"/>
          <w:b/>
          <w:szCs w:val="32"/>
        </w:rPr>
        <w:t>支出决算结构情况</w:t>
      </w:r>
    </w:p>
    <w:p>
      <w:pPr>
        <w:spacing w:line="580" w:lineRule="exact"/>
        <w:ind w:firstLine="640"/>
        <w:rPr>
          <w:rFonts w:hint="eastAsia" w:ascii="仿宋_GB2312"/>
          <w:b/>
          <w:szCs w:val="32"/>
        </w:rPr>
      </w:pPr>
      <w:r>
        <w:rPr>
          <w:rFonts w:hint="eastAsia" w:ascii="仿宋_GB2312"/>
          <w:szCs w:val="32"/>
        </w:rPr>
        <w:t>2021年度</w:t>
      </w:r>
      <w:r>
        <w:rPr>
          <w:rFonts w:ascii="仿宋_GB2312"/>
          <w:szCs w:val="32"/>
        </w:rPr>
        <w:t>财政拨款支出</w:t>
      </w:r>
      <w:r>
        <w:rPr>
          <w:rFonts w:hint="eastAsia" w:ascii="仿宋_GB2312"/>
          <w:szCs w:val="32"/>
        </w:rPr>
        <w:t>205.5万元</w:t>
      </w:r>
      <w:r>
        <w:rPr>
          <w:rFonts w:ascii="仿宋_GB2312"/>
          <w:szCs w:val="32"/>
        </w:rPr>
        <w:t>，主要用于以下方面：</w:t>
      </w:r>
      <w:r>
        <w:rPr>
          <w:rFonts w:ascii="仿宋_GB2312"/>
          <w:b/>
          <w:szCs w:val="32"/>
        </w:rPr>
        <w:t>一般公共服务（</w:t>
      </w:r>
      <w:r>
        <w:rPr>
          <w:rFonts w:hint="eastAsia" w:ascii="仿宋_GB2312"/>
          <w:b/>
          <w:szCs w:val="32"/>
        </w:rPr>
        <w:t>类</w:t>
      </w:r>
      <w:r>
        <w:rPr>
          <w:rFonts w:ascii="仿宋_GB2312"/>
          <w:b/>
          <w:szCs w:val="32"/>
        </w:rPr>
        <w:t>）</w:t>
      </w:r>
      <w:r>
        <w:rPr>
          <w:rFonts w:hint="eastAsia" w:ascii="仿宋_GB2312"/>
          <w:szCs w:val="32"/>
        </w:rPr>
        <w:t>支出3.3万元</w:t>
      </w:r>
      <w:r>
        <w:rPr>
          <w:rFonts w:ascii="仿宋_GB2312"/>
          <w:szCs w:val="32"/>
        </w:rPr>
        <w:t>，占</w:t>
      </w:r>
      <w:r>
        <w:rPr>
          <w:rFonts w:hint="eastAsia" w:ascii="仿宋_GB2312"/>
          <w:szCs w:val="32"/>
        </w:rPr>
        <w:t>1.6</w:t>
      </w:r>
      <w:r>
        <w:rPr>
          <w:rFonts w:ascii="仿宋_GB2312"/>
          <w:szCs w:val="32"/>
        </w:rPr>
        <w:t>%；</w:t>
      </w:r>
      <w:r>
        <w:rPr>
          <w:rFonts w:ascii="仿宋_GB2312"/>
          <w:b/>
          <w:szCs w:val="32"/>
        </w:rPr>
        <w:t>公共安全（</w:t>
      </w:r>
      <w:r>
        <w:rPr>
          <w:rFonts w:hint="eastAsia" w:ascii="仿宋_GB2312"/>
          <w:b/>
          <w:szCs w:val="32"/>
        </w:rPr>
        <w:t>类</w:t>
      </w:r>
      <w:r>
        <w:rPr>
          <w:rFonts w:ascii="仿宋_GB2312"/>
          <w:b/>
          <w:szCs w:val="32"/>
        </w:rPr>
        <w:t>）</w:t>
      </w:r>
      <w:r>
        <w:rPr>
          <w:rFonts w:hint="eastAsia" w:ascii="仿宋_GB2312"/>
          <w:szCs w:val="32"/>
        </w:rPr>
        <w:t>支出188万元</w:t>
      </w:r>
      <w:r>
        <w:rPr>
          <w:rFonts w:ascii="仿宋_GB2312"/>
          <w:szCs w:val="32"/>
        </w:rPr>
        <w:t>，占</w:t>
      </w:r>
      <w:r>
        <w:rPr>
          <w:rFonts w:hint="eastAsia" w:ascii="仿宋_GB2312"/>
          <w:szCs w:val="32"/>
        </w:rPr>
        <w:t>91.5</w:t>
      </w:r>
      <w:r>
        <w:rPr>
          <w:rFonts w:ascii="仿宋_GB2312"/>
          <w:szCs w:val="32"/>
        </w:rPr>
        <w:t>%；</w:t>
      </w:r>
      <w:r>
        <w:rPr>
          <w:rFonts w:hint="eastAsia" w:ascii="仿宋_GB2312"/>
          <w:b/>
          <w:szCs w:val="32"/>
        </w:rPr>
        <w:t>社会</w:t>
      </w:r>
      <w:r>
        <w:rPr>
          <w:rFonts w:ascii="仿宋_GB2312"/>
          <w:b/>
          <w:szCs w:val="32"/>
        </w:rPr>
        <w:t>保障和就业（</w:t>
      </w:r>
      <w:r>
        <w:rPr>
          <w:rFonts w:hint="eastAsia" w:ascii="仿宋_GB2312"/>
          <w:b/>
          <w:szCs w:val="32"/>
        </w:rPr>
        <w:t>类</w:t>
      </w:r>
      <w:r>
        <w:rPr>
          <w:rFonts w:ascii="仿宋_GB2312"/>
          <w:b/>
          <w:szCs w:val="32"/>
        </w:rPr>
        <w:t>）</w:t>
      </w:r>
      <w:r>
        <w:rPr>
          <w:rFonts w:hint="eastAsia" w:ascii="仿宋_GB2312"/>
          <w:szCs w:val="32"/>
        </w:rPr>
        <w:t>支出6.98万元</w:t>
      </w:r>
      <w:r>
        <w:rPr>
          <w:rFonts w:ascii="仿宋_GB2312"/>
          <w:szCs w:val="32"/>
        </w:rPr>
        <w:t>，占</w:t>
      </w:r>
      <w:r>
        <w:rPr>
          <w:rFonts w:hint="eastAsia" w:ascii="仿宋_GB2312"/>
          <w:szCs w:val="32"/>
        </w:rPr>
        <w:t>3.4</w:t>
      </w:r>
      <w:r>
        <w:rPr>
          <w:rFonts w:ascii="仿宋_GB2312"/>
          <w:szCs w:val="32"/>
        </w:rPr>
        <w:t>%；</w:t>
      </w:r>
      <w:r>
        <w:rPr>
          <w:rFonts w:hint="eastAsia" w:ascii="仿宋_GB2312"/>
          <w:b/>
          <w:szCs w:val="32"/>
        </w:rPr>
        <w:t>卫生</w:t>
      </w:r>
      <w:r>
        <w:rPr>
          <w:rFonts w:ascii="仿宋_GB2312"/>
          <w:b/>
          <w:szCs w:val="32"/>
        </w:rPr>
        <w:t>健康（</w:t>
      </w:r>
      <w:r>
        <w:rPr>
          <w:rFonts w:hint="eastAsia" w:ascii="仿宋_GB2312"/>
          <w:b/>
          <w:szCs w:val="32"/>
        </w:rPr>
        <w:t>类</w:t>
      </w:r>
      <w:r>
        <w:rPr>
          <w:rFonts w:ascii="仿宋_GB2312"/>
          <w:b/>
          <w:szCs w:val="32"/>
        </w:rPr>
        <w:t>）</w:t>
      </w:r>
      <w:r>
        <w:rPr>
          <w:rFonts w:hint="eastAsia" w:ascii="仿宋_GB2312"/>
          <w:szCs w:val="32"/>
        </w:rPr>
        <w:t>支出3.1万元</w:t>
      </w:r>
      <w:r>
        <w:rPr>
          <w:rFonts w:ascii="仿宋_GB2312"/>
          <w:szCs w:val="32"/>
        </w:rPr>
        <w:t>，占</w:t>
      </w:r>
      <w:r>
        <w:rPr>
          <w:rFonts w:hint="eastAsia" w:ascii="仿宋_GB2312"/>
          <w:szCs w:val="32"/>
        </w:rPr>
        <w:t>1.51</w:t>
      </w:r>
      <w:r>
        <w:rPr>
          <w:rFonts w:ascii="仿宋_GB2312"/>
          <w:szCs w:val="32"/>
        </w:rPr>
        <w:t>%；</w:t>
      </w:r>
      <w:r>
        <w:rPr>
          <w:rFonts w:hint="eastAsia" w:ascii="仿宋_GB2312"/>
          <w:b/>
          <w:szCs w:val="32"/>
        </w:rPr>
        <w:t>住房保障</w:t>
      </w:r>
      <w:r>
        <w:rPr>
          <w:rFonts w:ascii="仿宋_GB2312"/>
          <w:b/>
          <w:szCs w:val="32"/>
        </w:rPr>
        <w:t>（</w:t>
      </w:r>
      <w:r>
        <w:rPr>
          <w:rFonts w:hint="eastAsia" w:ascii="仿宋_GB2312"/>
          <w:b/>
          <w:szCs w:val="32"/>
        </w:rPr>
        <w:t>类</w:t>
      </w:r>
      <w:r>
        <w:rPr>
          <w:rFonts w:ascii="仿宋_GB2312"/>
          <w:b/>
          <w:szCs w:val="32"/>
        </w:rPr>
        <w:t>）</w:t>
      </w:r>
      <w:r>
        <w:rPr>
          <w:rFonts w:hint="eastAsia" w:ascii="仿宋_GB2312"/>
          <w:szCs w:val="32"/>
        </w:rPr>
        <w:t>支出4.05万元</w:t>
      </w:r>
      <w:r>
        <w:rPr>
          <w:rFonts w:ascii="仿宋_GB2312"/>
          <w:szCs w:val="32"/>
        </w:rPr>
        <w:t>，占</w:t>
      </w:r>
      <w:r>
        <w:rPr>
          <w:rFonts w:hint="eastAsia" w:ascii="仿宋_GB2312"/>
          <w:szCs w:val="32"/>
        </w:rPr>
        <w:t>1.97</w:t>
      </w:r>
      <w:r>
        <w:rPr>
          <w:rFonts w:ascii="仿宋_GB2312"/>
          <w:szCs w:val="32"/>
        </w:rPr>
        <w:t>%</w:t>
      </w:r>
      <w:r>
        <w:rPr>
          <w:rFonts w:hint="eastAsia" w:ascii="仿宋_GB2312"/>
          <w:szCs w:val="32"/>
        </w:rPr>
        <w:t>。</w:t>
      </w:r>
    </w:p>
    <w:p>
      <w:pPr>
        <w:spacing w:line="580" w:lineRule="exact"/>
        <w:ind w:firstLine="643"/>
        <w:rPr>
          <w:rFonts w:hint="eastAsia" w:ascii="仿宋_GB2312"/>
          <w:b/>
          <w:szCs w:val="32"/>
        </w:rPr>
      </w:pPr>
      <w:r>
        <w:rPr>
          <w:rFonts w:hint="eastAsia" w:ascii="仿宋_GB2312"/>
          <w:b/>
          <w:szCs w:val="32"/>
        </w:rPr>
        <w:t>（三）财政拨款支出决算具体情况</w:t>
      </w:r>
    </w:p>
    <w:p>
      <w:pPr>
        <w:spacing w:line="580" w:lineRule="exact"/>
        <w:ind w:firstLine="640"/>
        <w:rPr>
          <w:szCs w:val="32"/>
        </w:rPr>
      </w:pPr>
      <w:r>
        <w:rPr>
          <w:rFonts w:hint="eastAsia"/>
          <w:szCs w:val="32"/>
        </w:rPr>
        <w:t>2021年度财政拨款支出年初预算269万元，支出决算205.5万元，完成年初预算的76.4</w:t>
      </w:r>
      <w:r>
        <w:rPr>
          <w:szCs w:val="32"/>
        </w:rPr>
        <w:t>%</w:t>
      </w:r>
      <w:r>
        <w:rPr>
          <w:rFonts w:hint="eastAsia"/>
          <w:szCs w:val="32"/>
        </w:rPr>
        <w:t>。其中：</w:t>
      </w:r>
    </w:p>
    <w:p>
      <w:pPr>
        <w:spacing w:line="580" w:lineRule="exact"/>
        <w:ind w:firstLine="640"/>
        <w:rPr>
          <w:rFonts w:hint="eastAsia" w:ascii="仿宋_GB2312"/>
          <w:szCs w:val="32"/>
        </w:rPr>
      </w:pPr>
      <w:r>
        <w:rPr>
          <w:rFonts w:hint="eastAsia" w:ascii="仿宋_GB2312"/>
          <w:szCs w:val="32"/>
        </w:rPr>
        <w:t>一般公共服务支出年初</w:t>
      </w:r>
      <w:r>
        <w:rPr>
          <w:rFonts w:ascii="仿宋_GB2312"/>
          <w:szCs w:val="32"/>
        </w:rPr>
        <w:t>预算</w:t>
      </w:r>
      <w:r>
        <w:rPr>
          <w:rFonts w:hint="eastAsia" w:ascii="仿宋_GB2312"/>
          <w:szCs w:val="32"/>
        </w:rPr>
        <w:t>3.3万元</w:t>
      </w:r>
      <w:r>
        <w:rPr>
          <w:rFonts w:ascii="仿宋_GB2312"/>
          <w:szCs w:val="32"/>
        </w:rPr>
        <w:t>，支出决算</w:t>
      </w:r>
      <w:r>
        <w:rPr>
          <w:rFonts w:hint="eastAsia" w:ascii="仿宋_GB2312"/>
          <w:szCs w:val="32"/>
        </w:rPr>
        <w:t>3.3万元完成年初预算的100%，用于支付第一季度物业费。较2020年决算减少10万元，下降75%，主要原因物业费从4月份起有县直属机关事务管理中心统一招标支付。</w:t>
      </w:r>
    </w:p>
    <w:p>
      <w:pPr>
        <w:spacing w:line="580" w:lineRule="exact"/>
        <w:ind w:firstLine="640"/>
        <w:rPr>
          <w:rFonts w:hint="eastAsia" w:ascii="仿宋_GB2312"/>
          <w:szCs w:val="32"/>
        </w:rPr>
      </w:pPr>
      <w:r>
        <w:rPr>
          <w:rFonts w:ascii="仿宋_GB2312"/>
          <w:szCs w:val="32"/>
        </w:rPr>
        <w:t>公共安全</w:t>
      </w:r>
      <w:r>
        <w:rPr>
          <w:rFonts w:hint="eastAsia" w:ascii="仿宋_GB2312"/>
          <w:szCs w:val="32"/>
        </w:rPr>
        <w:t>支出年初预算255万元，</w:t>
      </w:r>
      <w:r>
        <w:rPr>
          <w:rFonts w:ascii="仿宋_GB2312"/>
          <w:szCs w:val="32"/>
        </w:rPr>
        <w:t>支出决算</w:t>
      </w:r>
      <w:r>
        <w:rPr>
          <w:rFonts w:hint="eastAsia" w:ascii="仿宋_GB2312"/>
          <w:szCs w:val="32"/>
        </w:rPr>
        <w:t>188万元，完成年初预算的73.7%，用于支付民警工资、机关运行及业务费、给养费、协作医院费等项目。较2020年决算增加28万元，增长16.9%，主要原因看守所民警工资原由公安局发放，自2021年起改由看守所发放。</w:t>
      </w:r>
    </w:p>
    <w:p>
      <w:pPr>
        <w:spacing w:line="580" w:lineRule="exact"/>
        <w:ind w:firstLine="640"/>
        <w:rPr>
          <w:rFonts w:hint="eastAsia" w:ascii="仿宋_GB2312"/>
          <w:szCs w:val="32"/>
        </w:rPr>
      </w:pPr>
      <w:r>
        <w:rPr>
          <w:rFonts w:hint="eastAsia" w:ascii="仿宋_GB2312"/>
          <w:szCs w:val="32"/>
        </w:rPr>
        <w:t>社会</w:t>
      </w:r>
      <w:r>
        <w:rPr>
          <w:rFonts w:ascii="仿宋_GB2312"/>
          <w:szCs w:val="32"/>
        </w:rPr>
        <w:t>保障和就业</w:t>
      </w:r>
      <w:r>
        <w:rPr>
          <w:rFonts w:hint="eastAsia" w:ascii="仿宋_GB2312"/>
          <w:szCs w:val="32"/>
        </w:rPr>
        <w:t>支出年初预算6.98万元</w:t>
      </w:r>
      <w:r>
        <w:rPr>
          <w:rFonts w:ascii="仿宋_GB2312"/>
          <w:szCs w:val="32"/>
        </w:rPr>
        <w:t>，支出决算</w:t>
      </w:r>
      <w:r>
        <w:rPr>
          <w:rFonts w:hint="eastAsia" w:ascii="仿宋_GB2312"/>
          <w:szCs w:val="32"/>
        </w:rPr>
        <w:t>6.98万元，完成年初预算的100%，用于支付民警养老保险和工伤保险。较2020年决算无变化。</w:t>
      </w:r>
    </w:p>
    <w:p>
      <w:pPr>
        <w:spacing w:line="580" w:lineRule="exact"/>
        <w:ind w:firstLine="640"/>
        <w:rPr>
          <w:rFonts w:hint="eastAsia" w:ascii="仿宋_GB2312"/>
          <w:szCs w:val="32"/>
        </w:rPr>
      </w:pPr>
      <w:r>
        <w:rPr>
          <w:rFonts w:hint="eastAsia" w:ascii="仿宋_GB2312"/>
          <w:szCs w:val="32"/>
        </w:rPr>
        <w:t>卫生健康支出年初预算3.1万元</w:t>
      </w:r>
      <w:r>
        <w:rPr>
          <w:rFonts w:ascii="仿宋_GB2312"/>
          <w:szCs w:val="32"/>
        </w:rPr>
        <w:t>，支出决算</w:t>
      </w:r>
      <w:r>
        <w:rPr>
          <w:rFonts w:hint="eastAsia" w:ascii="仿宋_GB2312"/>
          <w:szCs w:val="32"/>
        </w:rPr>
        <w:t>3.1万元完成年初预算的100%，用于支付财政对职工基本医疗保险基金的补助保险。较2020年决算无变化。</w:t>
      </w:r>
    </w:p>
    <w:p>
      <w:pPr>
        <w:spacing w:line="580" w:lineRule="exact"/>
        <w:ind w:firstLine="640"/>
        <w:rPr>
          <w:szCs w:val="32"/>
        </w:rPr>
      </w:pPr>
      <w:r>
        <w:rPr>
          <w:rFonts w:hint="eastAsia" w:ascii="仿宋_GB2312"/>
          <w:szCs w:val="32"/>
        </w:rPr>
        <w:t>住房保障支出年初预算4.05万元</w:t>
      </w:r>
      <w:r>
        <w:rPr>
          <w:rFonts w:ascii="仿宋_GB2312"/>
          <w:szCs w:val="32"/>
        </w:rPr>
        <w:t>，支出决算</w:t>
      </w:r>
      <w:r>
        <w:rPr>
          <w:rFonts w:hint="eastAsia" w:ascii="仿宋_GB2312"/>
          <w:szCs w:val="32"/>
        </w:rPr>
        <w:t>4.05万元，完成年初预算的100%，用于支付住房公积金。较2020年决算无变化。</w:t>
      </w:r>
    </w:p>
    <w:p>
      <w:pPr>
        <w:spacing w:line="580" w:lineRule="exact"/>
        <w:ind w:firstLine="643"/>
        <w:rPr>
          <w:b/>
          <w:szCs w:val="32"/>
        </w:rPr>
      </w:pPr>
      <w:r>
        <w:rPr>
          <w:rFonts w:hint="eastAsia"/>
          <w:b/>
          <w:szCs w:val="32"/>
        </w:rPr>
        <w:t>六、一般公共预算</w:t>
      </w:r>
      <w:r>
        <w:rPr>
          <w:b/>
          <w:szCs w:val="32"/>
        </w:rPr>
        <w:t>财政拨款基本支出决算情况说明</w:t>
      </w:r>
    </w:p>
    <w:p>
      <w:pPr>
        <w:spacing w:line="580" w:lineRule="exact"/>
        <w:ind w:firstLine="640"/>
        <w:rPr>
          <w:rFonts w:hint="eastAsia" w:ascii="仿宋_GB2312"/>
          <w:szCs w:val="32"/>
        </w:rPr>
      </w:pPr>
      <w:r>
        <w:rPr>
          <w:rFonts w:hint="eastAsia" w:ascii="仿宋_GB2312"/>
          <w:szCs w:val="32"/>
        </w:rPr>
        <w:t>2021年度</w:t>
      </w:r>
      <w:r>
        <w:rPr>
          <w:rFonts w:ascii="仿宋_GB2312"/>
          <w:szCs w:val="32"/>
        </w:rPr>
        <w:t>财政拨款</w:t>
      </w:r>
      <w:r>
        <w:rPr>
          <w:rFonts w:hint="eastAsia" w:ascii="仿宋_GB2312"/>
          <w:szCs w:val="32"/>
        </w:rPr>
        <w:t>基本</w:t>
      </w:r>
      <w:r>
        <w:rPr>
          <w:rFonts w:ascii="仿宋_GB2312"/>
          <w:szCs w:val="32"/>
        </w:rPr>
        <w:t>支出</w:t>
      </w:r>
      <w:r>
        <w:rPr>
          <w:rFonts w:hint="eastAsia" w:ascii="仿宋_GB2312"/>
          <w:szCs w:val="32"/>
        </w:rPr>
        <w:t>75.65万元</w:t>
      </w:r>
      <w:r>
        <w:rPr>
          <w:rFonts w:ascii="仿宋_GB2312"/>
          <w:szCs w:val="32"/>
        </w:rPr>
        <w:t>，其中</w:t>
      </w:r>
      <w:r>
        <w:rPr>
          <w:rFonts w:hint="eastAsia" w:ascii="仿宋_GB2312"/>
          <w:szCs w:val="32"/>
        </w:rPr>
        <w:t>：人员</w:t>
      </w:r>
      <w:r>
        <w:rPr>
          <w:rFonts w:ascii="仿宋_GB2312"/>
          <w:szCs w:val="32"/>
        </w:rPr>
        <w:t>经费</w:t>
      </w:r>
      <w:r>
        <w:rPr>
          <w:rFonts w:hint="eastAsia" w:ascii="仿宋_GB2312"/>
          <w:szCs w:val="32"/>
        </w:rPr>
        <w:t>59.4万元</w:t>
      </w:r>
      <w:r>
        <w:rPr>
          <w:rFonts w:ascii="仿宋_GB2312"/>
          <w:szCs w:val="32"/>
        </w:rPr>
        <w:t>，</w:t>
      </w:r>
      <w:r>
        <w:rPr>
          <w:rFonts w:hint="eastAsia" w:ascii="仿宋_GB2312"/>
          <w:szCs w:val="32"/>
        </w:rPr>
        <w:t>主要</w:t>
      </w:r>
      <w:r>
        <w:rPr>
          <w:rFonts w:ascii="仿宋_GB2312"/>
          <w:szCs w:val="32"/>
        </w:rPr>
        <w:t>包括</w:t>
      </w:r>
      <w:r>
        <w:rPr>
          <w:rFonts w:hint="eastAsia" w:ascii="仿宋_GB2312"/>
          <w:szCs w:val="32"/>
        </w:rPr>
        <w:t>民警工资、津贴、养老保险、医疗保险、住房公积金等支出</w:t>
      </w:r>
      <w:r>
        <w:rPr>
          <w:rFonts w:ascii="仿宋_GB2312"/>
          <w:szCs w:val="32"/>
        </w:rPr>
        <w:t>；</w:t>
      </w:r>
      <w:r>
        <w:rPr>
          <w:rFonts w:hint="eastAsia" w:ascii="仿宋_GB2312"/>
          <w:szCs w:val="32"/>
        </w:rPr>
        <w:t>公用</w:t>
      </w:r>
      <w:r>
        <w:rPr>
          <w:rFonts w:ascii="仿宋_GB2312"/>
          <w:szCs w:val="32"/>
        </w:rPr>
        <w:t>经费</w:t>
      </w:r>
      <w:r>
        <w:rPr>
          <w:rFonts w:hint="eastAsia" w:ascii="仿宋_GB2312"/>
          <w:szCs w:val="32"/>
        </w:rPr>
        <w:t>16.25万元</w:t>
      </w:r>
      <w:r>
        <w:rPr>
          <w:rFonts w:ascii="仿宋_GB2312"/>
          <w:szCs w:val="32"/>
        </w:rPr>
        <w:t>，主要包括</w:t>
      </w:r>
      <w:r>
        <w:rPr>
          <w:rFonts w:hint="eastAsia" w:ascii="仿宋_GB2312"/>
          <w:szCs w:val="32"/>
        </w:rPr>
        <w:t>车补3.75万元及商品和服务支出12.5万元</w:t>
      </w:r>
      <w:r>
        <w:rPr>
          <w:rFonts w:ascii="仿宋_GB2312"/>
          <w:szCs w:val="32"/>
        </w:rPr>
        <w:t>。</w:t>
      </w:r>
    </w:p>
    <w:p>
      <w:pPr>
        <w:spacing w:line="580" w:lineRule="exact"/>
        <w:ind w:firstLine="643"/>
        <w:outlineLvl w:val="0"/>
        <w:rPr>
          <w:rFonts w:hint="eastAsia" w:ascii="仿宋_GB2312"/>
          <w:b/>
          <w:szCs w:val="32"/>
        </w:rPr>
      </w:pPr>
      <w:r>
        <w:rPr>
          <w:rFonts w:hint="eastAsia" w:ascii="仿宋_GB2312"/>
          <w:b/>
          <w:szCs w:val="32"/>
        </w:rPr>
        <w:t>七、一般公共预算财政拨款“三公”经费支出决算情况说明</w:t>
      </w:r>
    </w:p>
    <w:p>
      <w:pPr>
        <w:spacing w:line="580" w:lineRule="exact"/>
        <w:ind w:firstLine="640"/>
        <w:rPr>
          <w:rFonts w:hint="eastAsia"/>
          <w:bCs/>
          <w:szCs w:val="32"/>
        </w:rPr>
      </w:pPr>
      <w:r>
        <w:rPr>
          <w:rFonts w:hint="eastAsia"/>
          <w:bCs/>
          <w:szCs w:val="32"/>
        </w:rPr>
        <w:t>本单位无三公经费。</w:t>
      </w:r>
    </w:p>
    <w:p>
      <w:pPr>
        <w:spacing w:line="580" w:lineRule="exact"/>
        <w:ind w:firstLine="643"/>
        <w:rPr>
          <w:rFonts w:hint="eastAsia"/>
          <w:b/>
          <w:szCs w:val="32"/>
        </w:rPr>
      </w:pPr>
      <w:r>
        <w:rPr>
          <w:rFonts w:hint="eastAsia"/>
          <w:b/>
          <w:szCs w:val="32"/>
        </w:rPr>
        <w:t>八、其他重要事项情况说明</w:t>
      </w:r>
    </w:p>
    <w:p>
      <w:pPr>
        <w:spacing w:line="580" w:lineRule="exact"/>
        <w:ind w:firstLine="643"/>
        <w:outlineLvl w:val="0"/>
        <w:rPr>
          <w:rFonts w:hint="eastAsia" w:ascii="仿宋_GB2312"/>
          <w:szCs w:val="32"/>
        </w:rPr>
      </w:pPr>
      <w:r>
        <w:rPr>
          <w:rFonts w:hint="eastAsia" w:ascii="仿宋_GB2312"/>
          <w:b/>
          <w:szCs w:val="32"/>
        </w:rPr>
        <w:t>（一）机关运行经费支出情况说明</w:t>
      </w:r>
    </w:p>
    <w:p>
      <w:pPr>
        <w:spacing w:line="580" w:lineRule="exact"/>
        <w:ind w:firstLine="640"/>
        <w:rPr>
          <w:rFonts w:hint="eastAsia"/>
          <w:b/>
          <w:szCs w:val="32"/>
        </w:rPr>
      </w:pPr>
      <w:r>
        <w:rPr>
          <w:rFonts w:hint="eastAsia" w:ascii="仿宋_GB2312" w:hAnsi="宋体"/>
          <w:szCs w:val="32"/>
        </w:rPr>
        <w:t>2021年机关运行经费支出16.25万元，比2020年89.4减少73.15万元，降低81.8%。主要原因是：主要原因是2021年决算时，机关运行经费口径发生变动，只包括公用经费。</w:t>
      </w:r>
    </w:p>
    <w:p>
      <w:pPr>
        <w:spacing w:line="580" w:lineRule="exact"/>
        <w:ind w:firstLine="643"/>
        <w:outlineLvl w:val="0"/>
        <w:rPr>
          <w:rFonts w:hint="eastAsia" w:ascii="仿宋_GB2312"/>
          <w:b/>
          <w:szCs w:val="32"/>
        </w:rPr>
      </w:pPr>
      <w:r>
        <w:rPr>
          <w:rFonts w:hint="eastAsia" w:ascii="仿宋_GB2312"/>
          <w:b/>
          <w:szCs w:val="32"/>
        </w:rPr>
        <w:t>（二）政府采购情况说明</w:t>
      </w:r>
    </w:p>
    <w:p>
      <w:pPr>
        <w:spacing w:line="580" w:lineRule="exact"/>
        <w:ind w:firstLine="640"/>
        <w:rPr>
          <w:rFonts w:hint="eastAsia" w:ascii="仿宋_GB2312"/>
          <w:szCs w:val="32"/>
        </w:rPr>
      </w:pPr>
      <w:r>
        <w:rPr>
          <w:rFonts w:hint="eastAsia" w:ascii="仿宋_GB2312"/>
          <w:szCs w:val="32"/>
        </w:rPr>
        <w:t>2021年度未进行政府采购。</w:t>
      </w:r>
    </w:p>
    <w:p>
      <w:pPr>
        <w:spacing w:line="580" w:lineRule="exact"/>
        <w:ind w:firstLine="517" w:firstLineChars="161"/>
        <w:outlineLvl w:val="0"/>
        <w:rPr>
          <w:rFonts w:hint="eastAsia" w:ascii="仿宋_GB2312"/>
          <w:szCs w:val="32"/>
        </w:rPr>
      </w:pPr>
      <w:r>
        <w:rPr>
          <w:rFonts w:hint="eastAsia" w:ascii="仿宋_GB2312"/>
          <w:b/>
          <w:szCs w:val="32"/>
        </w:rPr>
        <w:t>（三）国有资产占用情况说明</w:t>
      </w:r>
    </w:p>
    <w:p>
      <w:pPr>
        <w:spacing w:line="580" w:lineRule="exact"/>
        <w:ind w:firstLine="640"/>
        <w:rPr>
          <w:rFonts w:hint="eastAsia" w:ascii="仿宋_GB2312"/>
          <w:szCs w:val="32"/>
        </w:rPr>
      </w:pPr>
      <w:r>
        <w:rPr>
          <w:rFonts w:hint="eastAsia" w:ascii="仿宋_GB2312"/>
          <w:szCs w:val="32"/>
        </w:rPr>
        <w:t>截至2021年12月31日，本单位共有车辆3辆。其中，执法执勤用车3辆，无单价50万元（含）以上的通用设备，单价100万元（含）以上专用设备1套。</w:t>
      </w:r>
    </w:p>
    <w:p>
      <w:pPr>
        <w:spacing w:line="580" w:lineRule="exact"/>
        <w:ind w:firstLine="517" w:firstLineChars="161"/>
        <w:outlineLvl w:val="0"/>
        <w:rPr>
          <w:rFonts w:hint="eastAsia" w:ascii="仿宋_GB2312"/>
          <w:b/>
          <w:szCs w:val="32"/>
        </w:rPr>
      </w:pPr>
      <w:r>
        <w:rPr>
          <w:rFonts w:hint="eastAsia" w:ascii="仿宋_GB2312"/>
          <w:b/>
          <w:szCs w:val="32"/>
        </w:rPr>
        <w:t>（四）预算绩效情况说明</w:t>
      </w:r>
    </w:p>
    <w:p>
      <w:pPr>
        <w:spacing w:line="580" w:lineRule="exact"/>
        <w:ind w:firstLine="640"/>
        <w:rPr>
          <w:rFonts w:hint="eastAsia" w:ascii="仿宋_GB2312"/>
          <w:szCs w:val="32"/>
        </w:rPr>
      </w:pPr>
      <w:r>
        <w:rPr>
          <w:rFonts w:hint="eastAsia" w:ascii="仿宋_GB2312"/>
          <w:szCs w:val="32"/>
        </w:rPr>
        <w:t>(1) 绩效管理评价工作开展情况。</w:t>
      </w:r>
    </w:p>
    <w:p>
      <w:pPr>
        <w:spacing w:line="580" w:lineRule="exact"/>
        <w:ind w:firstLine="640"/>
        <w:rPr>
          <w:rFonts w:hint="eastAsia" w:ascii="仿宋_GB2312"/>
          <w:szCs w:val="32"/>
        </w:rPr>
      </w:pPr>
      <w:r>
        <w:rPr>
          <w:rFonts w:hint="eastAsia" w:ascii="仿宋_GB2312"/>
          <w:szCs w:val="32"/>
        </w:rPr>
        <w:t>根据预算绩效管理要求，我单位组织对2021年度部门预算项目支出中其他运转类项目和特定目标类项目全面开展绩效自评。其中，二级项目3个，共涉及资金 129.8万元，占一般公共预算项目支出总额的100%。组织对“业务费”“给养费”“协作医院费”等 3 个项目开展了部门评价，涉及一般公共预算支出129.8 万元。从评价情况来看，“业务费”“给养费”“协作医院费”等 3 个项目均完成年初各项绩效目标，项目的顺利实施，有效的保障了监所安全稳定，保障了在押人员合法权益。</w:t>
      </w:r>
    </w:p>
    <w:p>
      <w:pPr>
        <w:spacing w:line="580" w:lineRule="exact"/>
        <w:ind w:firstLine="640"/>
        <w:rPr>
          <w:rFonts w:hint="eastAsia" w:ascii="仿宋_GB2312"/>
          <w:szCs w:val="32"/>
        </w:rPr>
      </w:pPr>
      <w:r>
        <w:rPr>
          <w:rFonts w:hint="eastAsia" w:ascii="仿宋_GB2312"/>
          <w:szCs w:val="32"/>
        </w:rPr>
        <w:t xml:space="preserve"> (2) 部门决算中重点项目绩效自评结果。</w:t>
      </w:r>
    </w:p>
    <w:p>
      <w:pPr>
        <w:spacing w:line="580" w:lineRule="exact"/>
        <w:ind w:firstLine="640"/>
        <w:rPr>
          <w:rFonts w:hint="eastAsia" w:ascii="仿宋_GB2312"/>
          <w:szCs w:val="32"/>
        </w:rPr>
      </w:pPr>
      <w:r>
        <w:rPr>
          <w:rFonts w:hint="eastAsia" w:ascii="仿宋_GB2312"/>
          <w:szCs w:val="32"/>
        </w:rPr>
        <w:t>给养费项目绩效自评综述：根据年初设定的绩效目标，项目绩效自评得分为 97.59 分。项目全年预算数为86.8万元，执行数为65.74 万元，完成预算的75.91%。项目绩效目标完成情况：一 是及时足额保障在押人员给养费 ；二是覆盖率及时率均达到100% 。发现的主要问题及原因：一是羁押人数有不确定性 ；二是物价有波动。下一步改进措施：一是年初申报时要确保足额预算，尽量考虑全面准确；二是要及时支付，确保资金执行情况达到预期目标（</w:t>
      </w:r>
      <w:r>
        <w:rPr>
          <w:rFonts w:hint="eastAsia" w:ascii="仿宋_GB2312"/>
          <w:szCs w:val="32"/>
          <w:lang w:eastAsia="zh-CN"/>
        </w:rPr>
        <w:t>详</w:t>
      </w:r>
      <w:r>
        <w:rPr>
          <w:rFonts w:hint="eastAsia" w:ascii="仿宋_GB2312"/>
          <w:szCs w:val="32"/>
        </w:rPr>
        <w:t>见附件2） 。</w:t>
      </w:r>
    </w:p>
    <w:p>
      <w:pPr>
        <w:spacing w:line="580" w:lineRule="exact"/>
        <w:ind w:firstLine="640"/>
        <w:rPr>
          <w:rFonts w:hint="eastAsia" w:ascii="仿宋_GB2312"/>
          <w:szCs w:val="32"/>
        </w:rPr>
      </w:pPr>
      <w:r>
        <w:rPr>
          <w:rFonts w:hint="eastAsia" w:ascii="仿宋_GB2312"/>
          <w:szCs w:val="32"/>
        </w:rPr>
        <w:t>业务费项目绩效自评综述：根据年初设定的绩效目标，项目绩效自评得分为 96.45 分。项目全年预算数为85万元，执行数为54.81 万元，完成预算的64.48%。项目绩效目标完成情况：一是保证了本单位各项业务工作正常开展 ；二是覆盖率及时率均达到100% 。发现的主要问题及原因：一是加强民警教育管理，进一步提高工作积极性；二是完善制度使之更有利于工作。下一步改进措施：一</w:t>
      </w:r>
      <w:bookmarkStart w:id="0" w:name="_GoBack"/>
      <w:bookmarkEnd w:id="0"/>
      <w:r>
        <w:rPr>
          <w:rFonts w:hint="eastAsia" w:ascii="仿宋_GB2312"/>
          <w:szCs w:val="32"/>
        </w:rPr>
        <w:t>是年初申报时要确保足额预算，尽量考虑全面准确；二是要及时支付，确保资金执行情况达到预期目标（</w:t>
      </w:r>
      <w:r>
        <w:rPr>
          <w:rFonts w:hint="eastAsia" w:ascii="仿宋_GB2312"/>
          <w:szCs w:val="32"/>
          <w:lang w:eastAsia="zh-CN"/>
        </w:rPr>
        <w:t>详</w:t>
      </w:r>
      <w:r>
        <w:rPr>
          <w:rFonts w:hint="eastAsia" w:ascii="仿宋_GB2312"/>
          <w:szCs w:val="32"/>
        </w:rPr>
        <w:t>见附件2）。</w:t>
      </w:r>
    </w:p>
    <w:p>
      <w:pPr>
        <w:spacing w:line="580" w:lineRule="exact"/>
        <w:ind w:firstLine="640"/>
        <w:rPr>
          <w:rFonts w:hint="eastAsia" w:ascii="仿宋_GB2312"/>
          <w:szCs w:val="32"/>
        </w:rPr>
      </w:pPr>
      <w:r>
        <w:rPr>
          <w:rFonts w:hint="eastAsia" w:ascii="仿宋_GB2312"/>
          <w:szCs w:val="32"/>
        </w:rPr>
        <w:t>协作医院项目绩效自评综述：根据年初设定的绩效目标，项目绩效自评得分为 92.61分。项目全年预算数为21.71万元，执行数为5.66 万元，完成预算的26.07%。项目绩效目标完成情况：一是保证了在押人员住院治疗费用及时支付 ；二是覆盖率及时率均达到100% 。发现的主要问题及原因：一是住院费用无法准确预计；二是因疫情原因监管病房肩负所外隔离任务。下一步改进措施：一是年初申报时要确保足额预算，尽量考虑全面准确；二是要及时支付，确保资金执行情况达到预期目标（详见附件2）。</w:t>
      </w:r>
    </w:p>
    <w:p>
      <w:pPr>
        <w:spacing w:line="580" w:lineRule="exact"/>
        <w:ind w:firstLine="640"/>
        <w:rPr>
          <w:rFonts w:hint="eastAsia" w:ascii="仿宋_GB2312"/>
          <w:szCs w:val="32"/>
        </w:rPr>
      </w:pPr>
      <w:r>
        <w:rPr>
          <w:rFonts w:hint="eastAsia" w:ascii="仿宋_GB2312"/>
          <w:szCs w:val="32"/>
        </w:rPr>
        <w:t>(3) 单位评价项目绩效评价结果。</w:t>
      </w:r>
    </w:p>
    <w:p>
      <w:pPr>
        <w:spacing w:line="580" w:lineRule="exact"/>
        <w:ind w:firstLine="640"/>
        <w:rPr>
          <w:rFonts w:hint="eastAsia" w:ascii="仿宋_GB2312"/>
          <w:szCs w:val="32"/>
        </w:rPr>
      </w:pPr>
      <w:r>
        <w:rPr>
          <w:rFonts w:hint="eastAsia" w:ascii="仿宋_GB2312"/>
          <w:szCs w:val="32"/>
        </w:rPr>
        <w:t>《 给养费项目绩效评价报告》（详见附件2）。</w:t>
      </w:r>
    </w:p>
    <w:p>
      <w:pPr>
        <w:spacing w:line="580" w:lineRule="exact"/>
        <w:ind w:firstLine="675" w:firstLineChars="210"/>
        <w:outlineLvl w:val="0"/>
        <w:rPr>
          <w:rFonts w:hint="eastAsia" w:ascii="仿宋_GB2312"/>
          <w:b/>
          <w:szCs w:val="32"/>
        </w:rPr>
      </w:pPr>
      <w:r>
        <w:rPr>
          <w:rFonts w:hint="eastAsia" w:ascii="仿宋_GB2312"/>
          <w:b/>
          <w:szCs w:val="32"/>
        </w:rPr>
        <w:t>（五）其他需要说明的事项</w:t>
      </w:r>
    </w:p>
    <w:p>
      <w:pPr>
        <w:ind w:firstLine="640"/>
        <w:rPr>
          <w:rFonts w:hint="eastAsia" w:ascii="仿宋" w:hAnsi="仿宋" w:eastAsia="仿宋" w:cs="仿宋"/>
          <w:bCs/>
          <w:szCs w:val="32"/>
          <w:lang w:val="en-US" w:eastAsia="zh-CN"/>
        </w:rPr>
      </w:pPr>
      <w:r>
        <w:rPr>
          <w:rFonts w:hint="eastAsia" w:ascii="仿宋" w:hAnsi="仿宋" w:eastAsia="仿宋" w:cs="仿宋"/>
          <w:bCs/>
          <w:szCs w:val="32"/>
          <w:lang w:val="en-US" w:eastAsia="zh-CN"/>
        </w:rPr>
        <w:t>本单位无其他说明的事项。</w:t>
      </w:r>
    </w:p>
    <w:p>
      <w:pPr>
        <w:ind w:firstLine="640"/>
        <w:rPr>
          <w:rFonts w:hint="eastAsia" w:ascii="黑体" w:hAnsi="黑体" w:eastAsia="黑体"/>
          <w:szCs w:val="32"/>
        </w:rPr>
      </w:pPr>
      <w:r>
        <w:rPr>
          <w:rFonts w:hint="eastAsia" w:ascii="黑体" w:hAnsi="黑体" w:eastAsia="黑体"/>
          <w:szCs w:val="32"/>
        </w:rPr>
        <w:t>第四部分  名词解释</w:t>
      </w:r>
    </w:p>
    <w:p>
      <w:pPr>
        <w:numPr>
          <w:ilvl w:val="0"/>
          <w:numId w:val="1"/>
        </w:numPr>
        <w:spacing w:line="580" w:lineRule="exact"/>
        <w:ind w:firstLineChars="0"/>
        <w:rPr>
          <w:rFonts w:hint="eastAsia" w:ascii="仿宋_GB2312"/>
          <w:szCs w:val="32"/>
        </w:rPr>
      </w:pPr>
      <w:r>
        <w:rPr>
          <w:rFonts w:hint="eastAsia" w:ascii="仿宋_GB2312"/>
          <w:b/>
          <w:szCs w:val="32"/>
        </w:rPr>
        <w:t>财政拨款收入：</w:t>
      </w:r>
      <w:r>
        <w:rPr>
          <w:rFonts w:hint="eastAsia" w:ascii="仿宋_GB2312"/>
          <w:szCs w:val="32"/>
        </w:rPr>
        <w:t>指单位从同级财政部门取得的财政预</w:t>
      </w:r>
    </w:p>
    <w:p>
      <w:pPr>
        <w:spacing w:line="580" w:lineRule="exact"/>
        <w:ind w:firstLineChars="0"/>
        <w:rPr>
          <w:rFonts w:hint="eastAsia" w:ascii="仿宋_GB2312"/>
          <w:szCs w:val="32"/>
        </w:rPr>
      </w:pPr>
      <w:r>
        <w:rPr>
          <w:rFonts w:hint="eastAsia" w:ascii="仿宋_GB2312"/>
          <w:szCs w:val="32"/>
        </w:rPr>
        <w:t>算资金。</w:t>
      </w:r>
    </w:p>
    <w:p>
      <w:pPr>
        <w:numPr>
          <w:ilvl w:val="0"/>
          <w:numId w:val="1"/>
        </w:numPr>
        <w:spacing w:line="580" w:lineRule="exact"/>
        <w:ind w:firstLineChars="0"/>
        <w:rPr>
          <w:rFonts w:hint="eastAsia" w:ascii="仿宋_GB2312"/>
          <w:szCs w:val="32"/>
        </w:rPr>
      </w:pPr>
      <w:r>
        <w:rPr>
          <w:rFonts w:hint="eastAsia" w:ascii="仿宋_GB2312"/>
          <w:b/>
          <w:szCs w:val="32"/>
        </w:rPr>
        <w:t>事业收入：</w:t>
      </w:r>
      <w:r>
        <w:rPr>
          <w:rFonts w:hint="eastAsia" w:ascii="仿宋_GB2312"/>
          <w:szCs w:val="32"/>
        </w:rPr>
        <w:t>指事业单位开展专业业务活动及辅助活动</w:t>
      </w:r>
    </w:p>
    <w:p>
      <w:pPr>
        <w:spacing w:line="580" w:lineRule="exact"/>
        <w:ind w:firstLineChars="0"/>
        <w:rPr>
          <w:rFonts w:hint="eastAsia" w:ascii="仿宋_GB2312"/>
          <w:szCs w:val="32"/>
        </w:rPr>
      </w:pPr>
      <w:r>
        <w:rPr>
          <w:rFonts w:hint="eastAsia" w:ascii="仿宋_GB2312"/>
          <w:szCs w:val="32"/>
        </w:rPr>
        <w:t>取得的收入。</w:t>
      </w:r>
    </w:p>
    <w:p>
      <w:pPr>
        <w:numPr>
          <w:ilvl w:val="0"/>
          <w:numId w:val="1"/>
        </w:numPr>
        <w:spacing w:line="580" w:lineRule="exact"/>
        <w:ind w:firstLineChars="0"/>
        <w:rPr>
          <w:rFonts w:hint="eastAsia" w:ascii="仿宋_GB2312"/>
          <w:szCs w:val="32"/>
        </w:rPr>
      </w:pPr>
      <w:r>
        <w:rPr>
          <w:rFonts w:hint="eastAsia" w:ascii="仿宋_GB2312"/>
          <w:b/>
          <w:szCs w:val="32"/>
        </w:rPr>
        <w:t>经营收入：</w:t>
      </w:r>
      <w:r>
        <w:rPr>
          <w:rFonts w:hint="eastAsia" w:ascii="仿宋_GB2312"/>
          <w:szCs w:val="32"/>
        </w:rPr>
        <w:t>指事业单位在专业业务活动及其辅助活动</w:t>
      </w:r>
    </w:p>
    <w:p>
      <w:pPr>
        <w:spacing w:line="580" w:lineRule="exact"/>
        <w:ind w:firstLineChars="0"/>
        <w:rPr>
          <w:rFonts w:hint="eastAsia" w:ascii="仿宋_GB2312"/>
          <w:szCs w:val="32"/>
        </w:rPr>
      </w:pPr>
      <w:r>
        <w:rPr>
          <w:rFonts w:hint="eastAsia" w:ascii="仿宋_GB2312"/>
          <w:szCs w:val="32"/>
        </w:rPr>
        <w:t>之外开展非独立核算经营活动取得的收入。</w:t>
      </w:r>
    </w:p>
    <w:p>
      <w:pPr>
        <w:numPr>
          <w:ilvl w:val="0"/>
          <w:numId w:val="1"/>
        </w:numPr>
        <w:spacing w:line="580" w:lineRule="exact"/>
        <w:ind w:firstLineChars="0"/>
        <w:rPr>
          <w:rFonts w:hint="eastAsia" w:ascii="仿宋_GB2312"/>
          <w:szCs w:val="32"/>
        </w:rPr>
      </w:pPr>
      <w:r>
        <w:rPr>
          <w:rFonts w:hint="eastAsia" w:ascii="仿宋_GB2312"/>
          <w:b/>
          <w:szCs w:val="32"/>
        </w:rPr>
        <w:t>其他收入：</w:t>
      </w:r>
      <w:r>
        <w:rPr>
          <w:rFonts w:hint="eastAsia" w:ascii="仿宋_GB2312"/>
          <w:szCs w:val="32"/>
        </w:rPr>
        <w:t>指单位取得的除上述收入以外的各项收</w:t>
      </w:r>
    </w:p>
    <w:p>
      <w:pPr>
        <w:spacing w:line="580" w:lineRule="exact"/>
        <w:ind w:firstLineChars="0"/>
        <w:rPr>
          <w:rFonts w:ascii="仿宋_GB2312"/>
          <w:szCs w:val="32"/>
        </w:rPr>
      </w:pPr>
      <w:r>
        <w:rPr>
          <w:rFonts w:hint="eastAsia" w:ascii="仿宋_GB2312"/>
          <w:szCs w:val="32"/>
        </w:rPr>
        <w:t>入。主要是事业单位固定资产出租收入、存款利息收入等。</w:t>
      </w:r>
    </w:p>
    <w:p>
      <w:pPr>
        <w:spacing w:line="580" w:lineRule="exact"/>
        <w:ind w:firstLineChars="0"/>
        <w:rPr>
          <w:rFonts w:hint="eastAsia" w:ascii="仿宋_GB2312"/>
          <w:szCs w:val="32"/>
        </w:rPr>
      </w:pPr>
      <w:r>
        <w:rPr>
          <w:rFonts w:ascii="仿宋_GB2312"/>
          <w:szCs w:val="32"/>
        </w:rPr>
        <w:t xml:space="preserve">   </w:t>
      </w:r>
      <w:r>
        <w:rPr>
          <w:rFonts w:hint="eastAsia" w:ascii="仿宋_GB2312"/>
          <w:b/>
          <w:bCs/>
          <w:szCs w:val="32"/>
        </w:rPr>
        <w:t>五、使用非财政拨款结余：</w:t>
      </w:r>
      <w:r>
        <w:rPr>
          <w:rFonts w:hint="eastAsia" w:ascii="仿宋_GB2312"/>
          <w:szCs w:val="32"/>
        </w:rPr>
        <w:t>指事业单位使用以前年度积累的非财政拨款结余弥补当年收支差额的金额。</w:t>
      </w:r>
    </w:p>
    <w:p>
      <w:pPr>
        <w:numPr>
          <w:ilvl w:val="0"/>
          <w:numId w:val="2"/>
        </w:numPr>
        <w:spacing w:line="580" w:lineRule="exact"/>
        <w:ind w:firstLineChars="0"/>
        <w:rPr>
          <w:rFonts w:hint="eastAsia" w:ascii="仿宋_GB2312"/>
          <w:szCs w:val="32"/>
        </w:rPr>
      </w:pPr>
      <w:r>
        <w:rPr>
          <w:rFonts w:hint="eastAsia" w:ascii="仿宋_GB2312"/>
          <w:b/>
          <w:szCs w:val="32"/>
        </w:rPr>
        <w:t>年初结转和结余：</w:t>
      </w:r>
      <w:r>
        <w:rPr>
          <w:rFonts w:hint="eastAsia" w:ascii="仿宋_GB2312"/>
          <w:szCs w:val="32"/>
        </w:rPr>
        <w:t>指单位以前年度尚未完成、结转到</w:t>
      </w:r>
    </w:p>
    <w:p>
      <w:pPr>
        <w:spacing w:line="580" w:lineRule="exact"/>
        <w:ind w:firstLineChars="0"/>
        <w:rPr>
          <w:rFonts w:ascii="仿宋_GB2312"/>
          <w:szCs w:val="32"/>
        </w:rPr>
      </w:pPr>
      <w:r>
        <w:rPr>
          <w:rFonts w:hint="eastAsia" w:ascii="仿宋_GB2312"/>
          <w:szCs w:val="32"/>
        </w:rPr>
        <w:t>本年仍按原规定用途继续使用的资金，或项目已完成等产生的结余资金。</w:t>
      </w:r>
    </w:p>
    <w:p>
      <w:pPr>
        <w:numPr>
          <w:ilvl w:val="0"/>
          <w:numId w:val="2"/>
        </w:numPr>
        <w:spacing w:line="580" w:lineRule="exact"/>
        <w:ind w:firstLineChars="0"/>
        <w:rPr>
          <w:rFonts w:ascii="仿宋_GB2312"/>
          <w:szCs w:val="32"/>
        </w:rPr>
      </w:pPr>
      <w:r>
        <w:rPr>
          <w:rFonts w:hint="eastAsia" w:ascii="仿宋_GB2312"/>
          <w:b/>
          <w:bCs/>
          <w:szCs w:val="32"/>
        </w:rPr>
        <w:t>结余分配：</w:t>
      </w:r>
      <w:r>
        <w:rPr>
          <w:rFonts w:hint="eastAsia" w:ascii="仿宋_GB2312"/>
          <w:szCs w:val="32"/>
        </w:rPr>
        <w:t>指事业单位按照会计制度规定缴纳的所得</w:t>
      </w:r>
    </w:p>
    <w:p>
      <w:pPr>
        <w:spacing w:line="580" w:lineRule="exact"/>
        <w:ind w:firstLine="0" w:firstLineChars="0"/>
        <w:rPr>
          <w:rFonts w:ascii="仿宋_GB2312"/>
          <w:szCs w:val="32"/>
        </w:rPr>
      </w:pPr>
      <w:r>
        <w:rPr>
          <w:rFonts w:hint="eastAsia" w:ascii="仿宋_GB2312"/>
          <w:szCs w:val="32"/>
        </w:rPr>
        <w:t>税、提取的专用结余以及转入非财政拨款结余的金额等。</w:t>
      </w:r>
    </w:p>
    <w:p>
      <w:pPr>
        <w:numPr>
          <w:ilvl w:val="0"/>
          <w:numId w:val="2"/>
        </w:numPr>
        <w:spacing w:line="580" w:lineRule="exact"/>
        <w:ind w:firstLineChars="0"/>
        <w:rPr>
          <w:rFonts w:ascii="仿宋_GB2312"/>
          <w:szCs w:val="32"/>
        </w:rPr>
      </w:pPr>
      <w:r>
        <w:rPr>
          <w:rFonts w:hint="eastAsia" w:ascii="仿宋_GB2312"/>
          <w:szCs w:val="32"/>
        </w:rPr>
        <w:t>年末结转和结余：指单位按有关规定结转到下年或以</w:t>
      </w:r>
    </w:p>
    <w:p>
      <w:pPr>
        <w:spacing w:line="580" w:lineRule="exact"/>
        <w:ind w:firstLine="0" w:firstLineChars="0"/>
        <w:rPr>
          <w:rFonts w:hint="eastAsia" w:ascii="仿宋_GB2312"/>
          <w:szCs w:val="32"/>
        </w:rPr>
      </w:pPr>
      <w:r>
        <w:rPr>
          <w:rFonts w:hint="eastAsia" w:ascii="仿宋_GB2312"/>
          <w:szCs w:val="32"/>
        </w:rPr>
        <w:t>后年度继续使用的资金，或项目已完成等产生的结余资金。</w:t>
      </w:r>
    </w:p>
    <w:p>
      <w:pPr>
        <w:numPr>
          <w:ilvl w:val="0"/>
          <w:numId w:val="2"/>
        </w:numPr>
        <w:spacing w:line="580" w:lineRule="exact"/>
        <w:ind w:firstLineChars="0"/>
        <w:rPr>
          <w:rFonts w:hint="eastAsia" w:ascii="仿宋_GB2312"/>
          <w:b/>
          <w:szCs w:val="32"/>
        </w:rPr>
      </w:pPr>
      <w:r>
        <w:rPr>
          <w:rFonts w:hint="eastAsia" w:ascii="仿宋_GB2312"/>
          <w:b/>
          <w:szCs w:val="32"/>
        </w:rPr>
        <w:t>基本支出：</w:t>
      </w:r>
      <w:r>
        <w:rPr>
          <w:rFonts w:hint="eastAsia" w:ascii="仿宋_GB2312"/>
          <w:szCs w:val="32"/>
        </w:rPr>
        <w:t>指为保障机构正常运转、完成日常工作任</w:t>
      </w:r>
    </w:p>
    <w:p>
      <w:pPr>
        <w:spacing w:line="580" w:lineRule="exact"/>
        <w:ind w:firstLineChars="0"/>
        <w:rPr>
          <w:rFonts w:ascii="仿宋_GB2312"/>
          <w:b/>
          <w:szCs w:val="32"/>
        </w:rPr>
      </w:pPr>
      <w:r>
        <w:rPr>
          <w:rFonts w:hint="eastAsia" w:ascii="仿宋_GB2312"/>
          <w:szCs w:val="32"/>
        </w:rPr>
        <w:t>务而发生的人员支出和公用支出。</w:t>
      </w:r>
    </w:p>
    <w:p>
      <w:pPr>
        <w:autoSpaceDE w:val="0"/>
        <w:autoSpaceDN w:val="0"/>
        <w:adjustRightInd w:val="0"/>
        <w:ind w:firstLine="630" w:firstLineChars="196"/>
        <w:rPr>
          <w:rFonts w:ascii="仿宋_GB2312"/>
          <w:szCs w:val="32"/>
        </w:rPr>
      </w:pPr>
      <w:r>
        <w:rPr>
          <w:rFonts w:hint="eastAsia" w:ascii="仿宋_GB2312"/>
          <w:b/>
          <w:szCs w:val="32"/>
        </w:rPr>
        <w:t>十、项目支出：</w:t>
      </w:r>
      <w:r>
        <w:rPr>
          <w:rFonts w:hint="eastAsia" w:ascii="仿宋_GB2312"/>
          <w:szCs w:val="32"/>
        </w:rPr>
        <w:t>指在基本支出之外为完成特定行政任务和事业发展目标所发生的支出。</w:t>
      </w:r>
    </w:p>
    <w:p>
      <w:pPr>
        <w:autoSpaceDE w:val="0"/>
        <w:autoSpaceDN w:val="0"/>
        <w:adjustRightInd w:val="0"/>
        <w:ind w:firstLine="630" w:firstLineChars="196"/>
        <w:rPr>
          <w:rFonts w:ascii="仿宋_GB2312"/>
          <w:szCs w:val="32"/>
        </w:rPr>
      </w:pPr>
      <w:r>
        <w:rPr>
          <w:rFonts w:hint="eastAsia" w:ascii="仿宋_GB2312"/>
          <w:b/>
          <w:szCs w:val="32"/>
        </w:rPr>
        <w:t>十一、“三公”经费：</w:t>
      </w:r>
      <w:r>
        <w:rPr>
          <w:rFonts w:hint="eastAsia" w:ascii="仿宋_GB2312"/>
          <w:szCs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3"/>
        <w:rPr>
          <w:rFonts w:ascii="仿宋_GB2312"/>
          <w:szCs w:val="32"/>
        </w:rPr>
      </w:pPr>
      <w:r>
        <w:rPr>
          <w:rFonts w:hint="eastAsia" w:ascii="仿宋_GB2312"/>
          <w:b/>
          <w:szCs w:val="32"/>
        </w:rPr>
        <w:t>十二、机关运行经费：</w:t>
      </w:r>
      <w:r>
        <w:rPr>
          <w:rFonts w:hint="eastAsia" w:ascii="仿宋_GB2312"/>
          <w:szCs w:val="32"/>
        </w:rPr>
        <w:t>指行政单位和参照公务员法管理的事业单位使用一般公共预算安排的基本支出中的日常公用经费支出。</w:t>
      </w:r>
    </w:p>
    <w:p>
      <w:pPr>
        <w:autoSpaceDE w:val="0"/>
        <w:autoSpaceDN w:val="0"/>
        <w:adjustRightInd w:val="0"/>
        <w:ind w:firstLine="643"/>
        <w:rPr>
          <w:rFonts w:ascii="仿宋_GB2312"/>
          <w:b/>
          <w:szCs w:val="32"/>
        </w:rPr>
      </w:pPr>
      <w:r>
        <w:rPr>
          <w:rFonts w:hint="eastAsia" w:ascii="仿宋_GB2312"/>
          <w:b/>
          <w:szCs w:val="32"/>
        </w:rPr>
        <w:t xml:space="preserve">第五部分 </w:t>
      </w:r>
      <w:r>
        <w:rPr>
          <w:rFonts w:ascii="仿宋_GB2312"/>
          <w:b/>
          <w:szCs w:val="32"/>
        </w:rPr>
        <w:t xml:space="preserve"> </w:t>
      </w:r>
      <w:r>
        <w:rPr>
          <w:rFonts w:hint="eastAsia" w:ascii="仿宋_GB2312"/>
          <w:b/>
          <w:szCs w:val="32"/>
        </w:rPr>
        <w:t>附件</w:t>
      </w:r>
    </w:p>
    <w:p>
      <w:pPr>
        <w:autoSpaceDE w:val="0"/>
        <w:autoSpaceDN w:val="0"/>
        <w:adjustRightInd w:val="0"/>
        <w:ind w:firstLine="640"/>
        <w:rPr>
          <w:rFonts w:hint="eastAsia" w:ascii="仿宋_GB2312"/>
          <w:szCs w:val="32"/>
        </w:rPr>
      </w:pPr>
      <w:r>
        <w:rPr>
          <w:rFonts w:hint="eastAsia" w:ascii="仿宋_GB2312"/>
          <w:szCs w:val="32"/>
        </w:rPr>
        <w:t>附件一：《襄汾县</w:t>
      </w:r>
      <w:r>
        <w:rPr>
          <w:rFonts w:hint="eastAsia" w:ascii="仿宋_GB2312"/>
          <w:szCs w:val="32"/>
          <w:lang w:val="en-US" w:eastAsia="zh-CN"/>
        </w:rPr>
        <w:t>看守所2021</w:t>
      </w:r>
      <w:r>
        <w:rPr>
          <w:rFonts w:hint="eastAsia" w:ascii="仿宋_GB2312"/>
          <w:szCs w:val="32"/>
        </w:rPr>
        <w:t>年度</w:t>
      </w:r>
      <w:r>
        <w:rPr>
          <w:rFonts w:hint="eastAsia" w:ascii="仿宋_GB2312"/>
          <w:szCs w:val="32"/>
          <w:lang w:val="en-US" w:eastAsia="zh-CN"/>
        </w:rPr>
        <w:t>单位</w:t>
      </w:r>
      <w:r>
        <w:rPr>
          <w:rFonts w:hint="eastAsia" w:ascii="仿宋_GB2312"/>
          <w:szCs w:val="32"/>
        </w:rPr>
        <w:t>决算公开》</w:t>
      </w:r>
    </w:p>
    <w:p>
      <w:pPr>
        <w:spacing w:line="580" w:lineRule="exact"/>
        <w:ind w:firstLine="640"/>
        <w:rPr>
          <w:rFonts w:hint="eastAsia" w:ascii="仿宋_GB2312"/>
          <w:szCs w:val="32"/>
        </w:rPr>
      </w:pPr>
      <w:r>
        <w:rPr>
          <w:rFonts w:hint="eastAsia" w:ascii="仿宋_GB2312"/>
          <w:szCs w:val="32"/>
        </w:rPr>
        <w:t>附件二：《</w:t>
      </w:r>
      <w:r>
        <w:rPr>
          <w:rFonts w:hint="eastAsia" w:ascii="仿宋_GB2312"/>
          <w:szCs w:val="32"/>
          <w:lang w:val="en-US" w:eastAsia="zh-CN"/>
        </w:rPr>
        <w:t>项目自评</w:t>
      </w:r>
      <w:r>
        <w:rPr>
          <w:rFonts w:hint="eastAsia" w:ascii="仿宋_GB2312"/>
          <w:szCs w:val="32"/>
        </w:rPr>
        <w:t>和项目绩效报告》</w:t>
      </w:r>
    </w:p>
    <w:p>
      <w:pPr>
        <w:ind w:firstLine="0" w:firstLineChars="0"/>
      </w:pPr>
    </w:p>
    <w:p>
      <w:pPr>
        <w:spacing w:line="580" w:lineRule="exact"/>
        <w:ind w:firstLine="640"/>
        <w:rPr>
          <w:rFonts w:hint="eastAsia" w:ascii="仿宋_GB2312"/>
          <w:szCs w:val="32"/>
        </w:rPr>
      </w:pPr>
    </w:p>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567"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fldChar w:fldCharType="begin"/>
    </w:r>
    <w:r>
      <w:instrText xml:space="preserve"> PAGE   \* MERGEFORMAT </w:instrText>
    </w:r>
    <w:r>
      <w:fldChar w:fldCharType="separate"/>
    </w:r>
    <w:r>
      <w:rPr>
        <w:lang w:val="zh-CN" w:eastAsia="zh-CN"/>
      </w:rPr>
      <w:t>10</w:t>
    </w:r>
    <w:r>
      <w:fldChar w:fldCharType="end"/>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A544E"/>
    <w:multiLevelType w:val="multilevel"/>
    <w:tmpl w:val="486A544E"/>
    <w:lvl w:ilvl="0" w:tentative="0">
      <w:start w:val="6"/>
      <w:numFmt w:val="japaneseCounting"/>
      <w:lvlText w:val="%1、"/>
      <w:lvlJc w:val="left"/>
      <w:pPr>
        <w:ind w:left="1360" w:hanging="720"/>
      </w:pPr>
      <w:rPr>
        <w:rFonts w:hint="default"/>
        <w:b/>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3D25D65"/>
    <w:multiLevelType w:val="multilevel"/>
    <w:tmpl w:val="53D25D65"/>
    <w:lvl w:ilvl="0" w:tentative="0">
      <w:start w:val="1"/>
      <w:numFmt w:val="japaneseCounting"/>
      <w:lvlText w:val="%1、"/>
      <w:lvlJc w:val="left"/>
      <w:pPr>
        <w:tabs>
          <w:tab w:val="left" w:pos="1395"/>
        </w:tabs>
        <w:ind w:left="1395" w:hanging="720"/>
      </w:pPr>
      <w:rPr>
        <w:rFonts w:hint="default"/>
        <w:b/>
      </w:rPr>
    </w:lvl>
    <w:lvl w:ilvl="1" w:tentative="0">
      <w:start w:val="1"/>
      <w:numFmt w:val="lowerLetter"/>
      <w:lvlText w:val="%2)"/>
      <w:lvlJc w:val="left"/>
      <w:pPr>
        <w:tabs>
          <w:tab w:val="left" w:pos="1515"/>
        </w:tabs>
        <w:ind w:left="1515" w:hanging="420"/>
      </w:pPr>
    </w:lvl>
    <w:lvl w:ilvl="2" w:tentative="0">
      <w:start w:val="1"/>
      <w:numFmt w:val="lowerRoman"/>
      <w:lvlText w:val="%3."/>
      <w:lvlJc w:val="right"/>
      <w:pPr>
        <w:tabs>
          <w:tab w:val="left" w:pos="1935"/>
        </w:tabs>
        <w:ind w:left="1935" w:hanging="420"/>
      </w:pPr>
    </w:lvl>
    <w:lvl w:ilvl="3" w:tentative="0">
      <w:start w:val="1"/>
      <w:numFmt w:val="decimal"/>
      <w:lvlText w:val="%4."/>
      <w:lvlJc w:val="left"/>
      <w:pPr>
        <w:tabs>
          <w:tab w:val="left" w:pos="2355"/>
        </w:tabs>
        <w:ind w:left="2355" w:hanging="420"/>
      </w:pPr>
    </w:lvl>
    <w:lvl w:ilvl="4" w:tentative="0">
      <w:start w:val="1"/>
      <w:numFmt w:val="lowerLetter"/>
      <w:lvlText w:val="%5)"/>
      <w:lvlJc w:val="left"/>
      <w:pPr>
        <w:tabs>
          <w:tab w:val="left" w:pos="2775"/>
        </w:tabs>
        <w:ind w:left="2775" w:hanging="420"/>
      </w:pPr>
    </w:lvl>
    <w:lvl w:ilvl="5" w:tentative="0">
      <w:start w:val="1"/>
      <w:numFmt w:val="lowerRoman"/>
      <w:lvlText w:val="%6."/>
      <w:lvlJc w:val="right"/>
      <w:pPr>
        <w:tabs>
          <w:tab w:val="left" w:pos="3195"/>
        </w:tabs>
        <w:ind w:left="3195" w:hanging="420"/>
      </w:pPr>
    </w:lvl>
    <w:lvl w:ilvl="6" w:tentative="0">
      <w:start w:val="1"/>
      <w:numFmt w:val="decimal"/>
      <w:lvlText w:val="%7."/>
      <w:lvlJc w:val="left"/>
      <w:pPr>
        <w:tabs>
          <w:tab w:val="left" w:pos="3615"/>
        </w:tabs>
        <w:ind w:left="3615" w:hanging="420"/>
      </w:pPr>
    </w:lvl>
    <w:lvl w:ilvl="7" w:tentative="0">
      <w:start w:val="1"/>
      <w:numFmt w:val="lowerLetter"/>
      <w:lvlText w:val="%8)"/>
      <w:lvlJc w:val="left"/>
      <w:pPr>
        <w:tabs>
          <w:tab w:val="left" w:pos="4035"/>
        </w:tabs>
        <w:ind w:left="4035" w:hanging="420"/>
      </w:pPr>
    </w:lvl>
    <w:lvl w:ilvl="8" w:tentative="0">
      <w:start w:val="1"/>
      <w:numFmt w:val="lowerRoman"/>
      <w:lvlText w:val="%9."/>
      <w:lvlJc w:val="right"/>
      <w:pPr>
        <w:tabs>
          <w:tab w:val="left" w:pos="4455"/>
        </w:tabs>
        <w:ind w:left="445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MGE4Y2I2MTkxMTQ5ZGIzMjlkNTM3N2VmNDY0NmEifQ=="/>
  </w:docVars>
  <w:rsids>
    <w:rsidRoot w:val="00172A27"/>
    <w:rsid w:val="00007A48"/>
    <w:rsid w:val="0002537E"/>
    <w:rsid w:val="00091BC2"/>
    <w:rsid w:val="000D51B9"/>
    <w:rsid w:val="001021AC"/>
    <w:rsid w:val="001102F9"/>
    <w:rsid w:val="001122B3"/>
    <w:rsid w:val="001676FC"/>
    <w:rsid w:val="001E08B1"/>
    <w:rsid w:val="001F1905"/>
    <w:rsid w:val="002906A9"/>
    <w:rsid w:val="002A0BC3"/>
    <w:rsid w:val="002D2DF7"/>
    <w:rsid w:val="002D51A9"/>
    <w:rsid w:val="002E0C28"/>
    <w:rsid w:val="00331277"/>
    <w:rsid w:val="00393CE9"/>
    <w:rsid w:val="003A4DD1"/>
    <w:rsid w:val="003B30E1"/>
    <w:rsid w:val="00400367"/>
    <w:rsid w:val="00414258"/>
    <w:rsid w:val="00431034"/>
    <w:rsid w:val="004634E2"/>
    <w:rsid w:val="00493632"/>
    <w:rsid w:val="00493A36"/>
    <w:rsid w:val="004F1052"/>
    <w:rsid w:val="00504C26"/>
    <w:rsid w:val="005165C2"/>
    <w:rsid w:val="00562A59"/>
    <w:rsid w:val="005656C1"/>
    <w:rsid w:val="0058177F"/>
    <w:rsid w:val="00596252"/>
    <w:rsid w:val="005B7303"/>
    <w:rsid w:val="005E5AF9"/>
    <w:rsid w:val="0060427B"/>
    <w:rsid w:val="00630C43"/>
    <w:rsid w:val="00646CD4"/>
    <w:rsid w:val="006525F9"/>
    <w:rsid w:val="006B7B2C"/>
    <w:rsid w:val="006C1FC0"/>
    <w:rsid w:val="006D41F5"/>
    <w:rsid w:val="007015A6"/>
    <w:rsid w:val="00732828"/>
    <w:rsid w:val="00740ADC"/>
    <w:rsid w:val="00742EB6"/>
    <w:rsid w:val="007A79C8"/>
    <w:rsid w:val="007B2052"/>
    <w:rsid w:val="007C1DD7"/>
    <w:rsid w:val="008159CB"/>
    <w:rsid w:val="008366FB"/>
    <w:rsid w:val="00840C64"/>
    <w:rsid w:val="008460A0"/>
    <w:rsid w:val="00863E5C"/>
    <w:rsid w:val="008B3080"/>
    <w:rsid w:val="008C2196"/>
    <w:rsid w:val="008E2202"/>
    <w:rsid w:val="00916C87"/>
    <w:rsid w:val="00965494"/>
    <w:rsid w:val="009953B4"/>
    <w:rsid w:val="009D09D2"/>
    <w:rsid w:val="009D4716"/>
    <w:rsid w:val="00A4795E"/>
    <w:rsid w:val="00A536B7"/>
    <w:rsid w:val="00A74AD6"/>
    <w:rsid w:val="00AA418B"/>
    <w:rsid w:val="00AB726B"/>
    <w:rsid w:val="00AD0613"/>
    <w:rsid w:val="00AD7988"/>
    <w:rsid w:val="00B24801"/>
    <w:rsid w:val="00B4591F"/>
    <w:rsid w:val="00B673D5"/>
    <w:rsid w:val="00B90D66"/>
    <w:rsid w:val="00BB4161"/>
    <w:rsid w:val="00BB4E18"/>
    <w:rsid w:val="00BE3714"/>
    <w:rsid w:val="00BE7708"/>
    <w:rsid w:val="00C00DC6"/>
    <w:rsid w:val="00C07D6B"/>
    <w:rsid w:val="00C57377"/>
    <w:rsid w:val="00C7781F"/>
    <w:rsid w:val="00CB349D"/>
    <w:rsid w:val="00CE4C5E"/>
    <w:rsid w:val="00D32B12"/>
    <w:rsid w:val="00D72947"/>
    <w:rsid w:val="00D74B8F"/>
    <w:rsid w:val="00D950FF"/>
    <w:rsid w:val="00E47C6D"/>
    <w:rsid w:val="00E9504E"/>
    <w:rsid w:val="00F062E5"/>
    <w:rsid w:val="00F31D3A"/>
    <w:rsid w:val="00F3354C"/>
    <w:rsid w:val="00F35637"/>
    <w:rsid w:val="00F50A6C"/>
    <w:rsid w:val="00F574BD"/>
    <w:rsid w:val="00F848BE"/>
    <w:rsid w:val="00FD36C7"/>
    <w:rsid w:val="0AAC61FB"/>
    <w:rsid w:val="17477418"/>
    <w:rsid w:val="2E2A05EA"/>
    <w:rsid w:val="305422AF"/>
    <w:rsid w:val="350766B4"/>
    <w:rsid w:val="3D9814C9"/>
    <w:rsid w:val="400C220D"/>
    <w:rsid w:val="412A5C85"/>
    <w:rsid w:val="48360DA5"/>
    <w:rsid w:val="4FFE7476"/>
    <w:rsid w:val="52F14517"/>
    <w:rsid w:val="5C0F0552"/>
    <w:rsid w:val="62B322B2"/>
    <w:rsid w:val="657C17C5"/>
    <w:rsid w:val="69C64A15"/>
    <w:rsid w:val="716A7152"/>
    <w:rsid w:val="B5BE4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link w:val="8"/>
    <w:qFormat/>
    <w:uiPriority w:val="0"/>
    <w:pPr>
      <w:spacing w:line="240" w:lineRule="auto"/>
    </w:pPr>
    <w:rPr>
      <w:sz w:val="18"/>
      <w:szCs w:val="18"/>
    </w:rPr>
  </w:style>
  <w:style w:type="paragraph" w:styleId="4">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qFormat/>
    <w:uiPriority w:val="99"/>
    <w:pPr>
      <w:tabs>
        <w:tab w:val="center" w:pos="4153"/>
        <w:tab w:val="right" w:pos="8306"/>
      </w:tabs>
      <w:snapToGrid w:val="0"/>
      <w:spacing w:line="240" w:lineRule="atLeast"/>
      <w:jc w:val="center"/>
    </w:pPr>
    <w:rPr>
      <w:sz w:val="18"/>
      <w:szCs w:val="18"/>
    </w:rPr>
  </w:style>
  <w:style w:type="character" w:customStyle="1" w:styleId="8">
    <w:name w:val="批注框文本 Char"/>
    <w:link w:val="3"/>
    <w:qFormat/>
    <w:uiPriority w:val="0"/>
    <w:rPr>
      <w:rFonts w:ascii="Times New Roman" w:hAnsi="Times New Roman" w:eastAsia="仿宋_GB2312"/>
      <w:kern w:val="2"/>
      <w:sz w:val="18"/>
      <w:szCs w:val="18"/>
    </w:rPr>
  </w:style>
  <w:style w:type="character" w:customStyle="1" w:styleId="9">
    <w:name w:val="页脚 Char"/>
    <w:link w:val="4"/>
    <w:qFormat/>
    <w:uiPriority w:val="99"/>
    <w:rPr>
      <w:rFonts w:ascii="Times New Roman" w:hAnsi="Times New Roman" w:eastAsia="仿宋_GB2312"/>
      <w:kern w:val="2"/>
      <w:sz w:val="18"/>
      <w:szCs w:val="18"/>
    </w:rPr>
  </w:style>
  <w:style w:type="character" w:customStyle="1" w:styleId="10">
    <w:name w:val="页眉 Char"/>
    <w:link w:val="5"/>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3609</Words>
  <Characters>4007</Characters>
  <Lines>29</Lines>
  <Paragraphs>8</Paragraphs>
  <TotalTime>8</TotalTime>
  <ScaleCrop>false</ScaleCrop>
  <LinksUpToDate>false</LinksUpToDate>
  <CharactersWithSpaces>4060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2022-10-20T16:37:00Z</dcterms:created>
  <dc:creator>1</dc:creator>
  <cp:lastModifiedBy>kylin</cp:lastModifiedBy>
  <cp:lastPrinted>2022-07-27T16:45:00Z</cp:lastPrinted>
  <dcterms:modified xsi:type="dcterms:W3CDTF">2023-05-04T17:15:17Z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9A2E34E336A64BCB8A8F5FB1D4C89586</vt:lpwstr>
  </property>
</Properties>
</file>