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640"/>
        <w:jc w:val="left"/>
        <w:rPr>
          <w:rFonts w:ascii="仿宋" w:hAnsi="仿宋" w:eastAsia="仿宋"/>
          <w:szCs w:val="32"/>
        </w:rPr>
      </w:pPr>
      <w:r>
        <w:rPr>
          <w:rFonts w:hint="eastAsia" w:ascii="黑体" w:hAnsi="黑体" w:eastAsia="黑体"/>
          <w:szCs w:val="32"/>
        </w:rPr>
        <w:t>附件1</w:t>
      </w:r>
    </w:p>
    <w:p>
      <w:pPr>
        <w:ind w:firstLine="640"/>
        <w:jc w:val="center"/>
        <w:rPr>
          <w:rFonts w:ascii="仿宋" w:hAnsi="仿宋" w:eastAsia="仿宋"/>
          <w:szCs w:val="32"/>
        </w:rPr>
      </w:pPr>
    </w:p>
    <w:p>
      <w:pPr>
        <w:ind w:firstLine="0" w:firstLineChars="0"/>
        <w:jc w:val="center"/>
        <w:rPr>
          <w:rFonts w:hint="eastAsia" w:ascii="华文中宋" w:hAnsi="华文中宋" w:eastAsia="华文中宋"/>
          <w:sz w:val="44"/>
          <w:szCs w:val="44"/>
          <w:u w:val="single"/>
        </w:rPr>
      </w:pPr>
      <w:r>
        <w:rPr>
          <w:rFonts w:hint="eastAsia" w:ascii="华文中宋" w:hAnsi="华文中宋" w:eastAsia="华文中宋"/>
          <w:sz w:val="44"/>
          <w:szCs w:val="44"/>
          <w:u w:val="single"/>
        </w:rPr>
        <w:t>中央农业广播学校襄汾县分校</w:t>
      </w:r>
    </w:p>
    <w:p>
      <w:pPr>
        <w:ind w:firstLine="0" w:firstLineChars="0"/>
        <w:jc w:val="center"/>
        <w:rPr>
          <w:rFonts w:ascii="华文中宋" w:hAnsi="华文中宋" w:eastAsia="华文中宋"/>
          <w:sz w:val="44"/>
          <w:szCs w:val="44"/>
        </w:rPr>
      </w:pPr>
      <w:r>
        <w:rPr>
          <w:rFonts w:hint="eastAsia" w:ascii="华文中宋" w:hAnsi="华文中宋" w:eastAsia="华文中宋"/>
          <w:sz w:val="44"/>
          <w:szCs w:val="44"/>
        </w:rPr>
        <w:t>2021年度</w:t>
      </w:r>
      <w:r>
        <w:rPr>
          <w:rFonts w:hint="eastAsia" w:ascii="华文中宋" w:hAnsi="华文中宋" w:eastAsia="华文中宋"/>
          <w:sz w:val="44"/>
          <w:szCs w:val="44"/>
          <w:lang w:val="en-US" w:eastAsia="zh-CN"/>
        </w:rPr>
        <w:t>单位</w:t>
      </w:r>
      <w:r>
        <w:rPr>
          <w:rFonts w:hint="eastAsia" w:ascii="华文中宋" w:hAnsi="华文中宋" w:eastAsia="华文中宋"/>
          <w:sz w:val="44"/>
          <w:szCs w:val="44"/>
        </w:rPr>
        <w:t>决算</w:t>
      </w:r>
    </w:p>
    <w:p>
      <w:pPr>
        <w:ind w:firstLine="880"/>
        <w:jc w:val="center"/>
        <w:rPr>
          <w:rFonts w:ascii="华文中宋" w:hAnsi="华文中宋" w:eastAsia="华文中宋"/>
          <w:sz w:val="44"/>
          <w:szCs w:val="44"/>
        </w:rPr>
      </w:pPr>
    </w:p>
    <w:p>
      <w:pPr>
        <w:ind w:firstLine="880"/>
        <w:jc w:val="center"/>
        <w:rPr>
          <w:rFonts w:hint="eastAsia" w:ascii="华文中宋" w:hAnsi="华文中宋" w:eastAsia="华文中宋"/>
          <w:sz w:val="44"/>
          <w:szCs w:val="44"/>
        </w:rPr>
      </w:pPr>
      <w:r>
        <w:rPr>
          <w:rFonts w:hint="eastAsia" w:ascii="华文中宋" w:hAnsi="华文中宋" w:eastAsia="华文中宋"/>
          <w:sz w:val="44"/>
          <w:szCs w:val="44"/>
        </w:rPr>
        <w:t>目录</w:t>
      </w:r>
    </w:p>
    <w:p>
      <w:pPr>
        <w:pStyle w:val="9"/>
        <w:tabs>
          <w:tab w:val="right" w:leader="dot" w:pos="8640"/>
        </w:tabs>
      </w:pPr>
      <w:r>
        <w:fldChar w:fldCharType="begin"/>
      </w:r>
      <w:r>
        <w:instrText xml:space="preserve">TOC \o "1-3" \h \u </w:instrText>
      </w:r>
      <w:r>
        <w:fldChar w:fldCharType="separate"/>
      </w:r>
      <w:r>
        <w:fldChar w:fldCharType="begin"/>
      </w:r>
      <w:r>
        <w:instrText xml:space="preserve"> HYPERLINK \l _Toc28145 </w:instrText>
      </w:r>
      <w:r>
        <w:fldChar w:fldCharType="separate"/>
      </w:r>
      <w:r>
        <w:rPr>
          <w:rFonts w:hint="eastAsia" w:ascii="黑体" w:hAnsi="黑体" w:eastAsia="黑体"/>
          <w:szCs w:val="32"/>
        </w:rPr>
        <w:t>第一部分  概况</w:t>
      </w:r>
      <w:r>
        <w:tab/>
      </w:r>
      <w:r>
        <w:fldChar w:fldCharType="begin"/>
      </w:r>
      <w:r>
        <w:instrText xml:space="preserve"> PAGEREF _Toc28145 \h </w:instrText>
      </w:r>
      <w:r>
        <w:fldChar w:fldCharType="separate"/>
      </w:r>
      <w:r>
        <w:t>1</w:t>
      </w:r>
      <w:r>
        <w:fldChar w:fldCharType="end"/>
      </w:r>
      <w:r>
        <w:fldChar w:fldCharType="end"/>
      </w:r>
    </w:p>
    <w:p>
      <w:pPr>
        <w:pStyle w:val="10"/>
        <w:tabs>
          <w:tab w:val="right" w:leader="dot" w:pos="8640"/>
        </w:tabs>
      </w:pPr>
      <w:r>
        <w:fldChar w:fldCharType="begin"/>
      </w:r>
      <w:r>
        <w:instrText xml:space="preserve"> HYPERLINK \l _Toc28609 </w:instrText>
      </w:r>
      <w:r>
        <w:fldChar w:fldCharType="separate"/>
      </w:r>
      <w:r>
        <w:rPr>
          <w:rFonts w:hint="eastAsia" w:ascii="仿宋_GB2312" w:hAnsi="楷体"/>
          <w:szCs w:val="32"/>
        </w:rPr>
        <w:t>一、本单位职责</w:t>
      </w:r>
      <w:r>
        <w:tab/>
      </w:r>
      <w:r>
        <w:fldChar w:fldCharType="begin"/>
      </w:r>
      <w:r>
        <w:instrText xml:space="preserve"> PAGEREF _Toc28609 \h </w:instrText>
      </w:r>
      <w:r>
        <w:fldChar w:fldCharType="separate"/>
      </w:r>
      <w:r>
        <w:t>1</w:t>
      </w:r>
      <w:r>
        <w:fldChar w:fldCharType="end"/>
      </w:r>
      <w:r>
        <w:fldChar w:fldCharType="end"/>
      </w:r>
    </w:p>
    <w:p>
      <w:pPr>
        <w:pStyle w:val="10"/>
        <w:tabs>
          <w:tab w:val="right" w:leader="dot" w:pos="8640"/>
        </w:tabs>
      </w:pPr>
      <w:r>
        <w:fldChar w:fldCharType="begin"/>
      </w:r>
      <w:r>
        <w:instrText xml:space="preserve"> HYPERLINK \l _Toc12646 </w:instrText>
      </w:r>
      <w:r>
        <w:fldChar w:fldCharType="separate"/>
      </w:r>
      <w:r>
        <w:rPr>
          <w:rFonts w:hint="eastAsia" w:ascii="仿宋_GB2312" w:hAnsi="楷体"/>
          <w:szCs w:val="32"/>
        </w:rPr>
        <w:t>二、机构设置情况</w:t>
      </w:r>
      <w:r>
        <w:tab/>
      </w:r>
      <w:r>
        <w:fldChar w:fldCharType="begin"/>
      </w:r>
      <w:r>
        <w:instrText xml:space="preserve"> PAGEREF _Toc12646 \h </w:instrText>
      </w:r>
      <w:r>
        <w:fldChar w:fldCharType="separate"/>
      </w:r>
      <w:r>
        <w:t>1</w:t>
      </w:r>
      <w:r>
        <w:fldChar w:fldCharType="end"/>
      </w:r>
      <w:r>
        <w:fldChar w:fldCharType="end"/>
      </w:r>
    </w:p>
    <w:p>
      <w:pPr>
        <w:pStyle w:val="9"/>
        <w:tabs>
          <w:tab w:val="right" w:leader="dot" w:pos="8640"/>
        </w:tabs>
      </w:pPr>
      <w:r>
        <w:fldChar w:fldCharType="begin"/>
      </w:r>
      <w:r>
        <w:instrText xml:space="preserve"> HYPERLINK \l _Toc18411 </w:instrText>
      </w:r>
      <w:r>
        <w:fldChar w:fldCharType="separate"/>
      </w:r>
      <w:r>
        <w:rPr>
          <w:rFonts w:hint="eastAsia" w:ascii="黑体" w:hAnsi="黑体" w:eastAsia="黑体"/>
          <w:szCs w:val="32"/>
        </w:rPr>
        <w:t>第二部分  2021年度部门决算报表</w:t>
      </w:r>
      <w:r>
        <w:tab/>
      </w:r>
      <w:r>
        <w:fldChar w:fldCharType="begin"/>
      </w:r>
      <w:r>
        <w:instrText xml:space="preserve"> PAGEREF _Toc18411 \h </w:instrText>
      </w:r>
      <w:r>
        <w:fldChar w:fldCharType="separate"/>
      </w:r>
      <w:r>
        <w:t>1</w:t>
      </w:r>
      <w:r>
        <w:fldChar w:fldCharType="end"/>
      </w:r>
      <w:r>
        <w:fldChar w:fldCharType="end"/>
      </w:r>
    </w:p>
    <w:p>
      <w:pPr>
        <w:pStyle w:val="10"/>
        <w:tabs>
          <w:tab w:val="right" w:leader="dot" w:pos="8640"/>
        </w:tabs>
      </w:pPr>
      <w:r>
        <w:fldChar w:fldCharType="begin"/>
      </w:r>
      <w:r>
        <w:instrText xml:space="preserve"> HYPERLINK \l _Toc8178 </w:instrText>
      </w:r>
      <w:r>
        <w:fldChar w:fldCharType="separate"/>
      </w:r>
      <w:r>
        <w:rPr>
          <w:rFonts w:hint="eastAsia" w:ascii="仿宋_GB2312" w:hAnsi="楷体"/>
          <w:szCs w:val="32"/>
          <w:lang w:eastAsia="zh-CN"/>
        </w:rPr>
        <w:t>一、</w:t>
      </w:r>
      <w:r>
        <w:rPr>
          <w:rFonts w:hint="eastAsia" w:ascii="仿宋_GB2312" w:hAnsi="楷体"/>
          <w:szCs w:val="32"/>
        </w:rPr>
        <w:t>收入支出决算总表</w:t>
      </w:r>
      <w:r>
        <w:tab/>
      </w:r>
      <w:r>
        <w:fldChar w:fldCharType="begin"/>
      </w:r>
      <w:r>
        <w:instrText xml:space="preserve"> PAGEREF _Toc8178 \h </w:instrText>
      </w:r>
      <w:r>
        <w:fldChar w:fldCharType="separate"/>
      </w:r>
      <w:r>
        <w:t>1</w:t>
      </w:r>
      <w:r>
        <w:fldChar w:fldCharType="end"/>
      </w:r>
      <w:r>
        <w:fldChar w:fldCharType="end"/>
      </w:r>
    </w:p>
    <w:p>
      <w:pPr>
        <w:pStyle w:val="10"/>
        <w:tabs>
          <w:tab w:val="right" w:leader="dot" w:pos="8640"/>
        </w:tabs>
      </w:pPr>
      <w:r>
        <w:fldChar w:fldCharType="begin"/>
      </w:r>
      <w:r>
        <w:instrText xml:space="preserve"> HYPERLINK \l _Toc31557 </w:instrText>
      </w:r>
      <w:r>
        <w:fldChar w:fldCharType="separate"/>
      </w:r>
      <w:r>
        <w:rPr>
          <w:rFonts w:hint="eastAsia" w:ascii="仿宋_GB2312" w:hAnsi="楷体"/>
          <w:szCs w:val="32"/>
          <w:lang w:eastAsia="zh-CN"/>
        </w:rPr>
        <w:t>二、</w:t>
      </w:r>
      <w:r>
        <w:rPr>
          <w:rFonts w:hint="eastAsia" w:ascii="仿宋_GB2312" w:hAnsi="楷体"/>
          <w:szCs w:val="32"/>
        </w:rPr>
        <w:t>收入决算表</w:t>
      </w:r>
      <w:r>
        <w:tab/>
      </w:r>
      <w:r>
        <w:fldChar w:fldCharType="begin"/>
      </w:r>
      <w:r>
        <w:instrText xml:space="preserve"> PAGEREF _Toc31557 \h </w:instrText>
      </w:r>
      <w:r>
        <w:fldChar w:fldCharType="separate"/>
      </w:r>
      <w:r>
        <w:t>2</w:t>
      </w:r>
      <w:r>
        <w:fldChar w:fldCharType="end"/>
      </w:r>
      <w:r>
        <w:fldChar w:fldCharType="end"/>
      </w:r>
    </w:p>
    <w:p>
      <w:pPr>
        <w:pStyle w:val="10"/>
        <w:tabs>
          <w:tab w:val="right" w:leader="dot" w:pos="8640"/>
        </w:tabs>
      </w:pPr>
      <w:r>
        <w:fldChar w:fldCharType="begin"/>
      </w:r>
      <w:r>
        <w:instrText xml:space="preserve"> HYPERLINK \l _Toc23682 </w:instrText>
      </w:r>
      <w:r>
        <w:fldChar w:fldCharType="separate"/>
      </w:r>
      <w:r>
        <w:rPr>
          <w:rFonts w:hint="eastAsia" w:ascii="仿宋_GB2312" w:hAnsi="楷体"/>
          <w:szCs w:val="32"/>
          <w:lang w:eastAsia="zh-CN"/>
        </w:rPr>
        <w:t>三、</w:t>
      </w:r>
      <w:r>
        <w:rPr>
          <w:rFonts w:hint="eastAsia" w:ascii="仿宋_GB2312" w:hAnsi="楷体"/>
          <w:szCs w:val="32"/>
        </w:rPr>
        <w:t>支出决算表</w:t>
      </w:r>
      <w:r>
        <w:tab/>
      </w:r>
      <w:r>
        <w:fldChar w:fldCharType="begin"/>
      </w:r>
      <w:r>
        <w:instrText xml:space="preserve"> PAGEREF _Toc23682 \h </w:instrText>
      </w:r>
      <w:r>
        <w:fldChar w:fldCharType="separate"/>
      </w:r>
      <w:r>
        <w:t>2</w:t>
      </w:r>
      <w:r>
        <w:fldChar w:fldCharType="end"/>
      </w:r>
      <w:r>
        <w:fldChar w:fldCharType="end"/>
      </w:r>
    </w:p>
    <w:p>
      <w:pPr>
        <w:pStyle w:val="10"/>
        <w:tabs>
          <w:tab w:val="right" w:leader="dot" w:pos="8640"/>
        </w:tabs>
      </w:pPr>
      <w:r>
        <w:fldChar w:fldCharType="begin"/>
      </w:r>
      <w:r>
        <w:instrText xml:space="preserve"> HYPERLINK \l _Toc18137 </w:instrText>
      </w:r>
      <w:r>
        <w:fldChar w:fldCharType="separate"/>
      </w:r>
      <w:r>
        <w:rPr>
          <w:rFonts w:hint="eastAsia" w:ascii="仿宋_GB2312" w:hAnsi="楷体"/>
          <w:szCs w:val="32"/>
          <w:lang w:eastAsia="zh-CN"/>
        </w:rPr>
        <w:t>四、</w:t>
      </w:r>
      <w:r>
        <w:rPr>
          <w:rFonts w:hint="eastAsia" w:ascii="仿宋_GB2312" w:hAnsi="楷体"/>
          <w:szCs w:val="32"/>
        </w:rPr>
        <w:t>财政拨款收入支出决算总表</w:t>
      </w:r>
      <w:r>
        <w:tab/>
      </w:r>
      <w:r>
        <w:fldChar w:fldCharType="begin"/>
      </w:r>
      <w:r>
        <w:instrText xml:space="preserve"> PAGEREF _Toc18137 \h </w:instrText>
      </w:r>
      <w:r>
        <w:fldChar w:fldCharType="separate"/>
      </w:r>
      <w:r>
        <w:t>3</w:t>
      </w:r>
      <w:r>
        <w:fldChar w:fldCharType="end"/>
      </w:r>
      <w:r>
        <w:fldChar w:fldCharType="end"/>
      </w:r>
    </w:p>
    <w:p>
      <w:pPr>
        <w:pStyle w:val="10"/>
        <w:tabs>
          <w:tab w:val="right" w:leader="dot" w:pos="8640"/>
        </w:tabs>
      </w:pPr>
      <w:r>
        <w:fldChar w:fldCharType="begin"/>
      </w:r>
      <w:r>
        <w:instrText xml:space="preserve"> HYPERLINK \l _Toc26268 </w:instrText>
      </w:r>
      <w:r>
        <w:fldChar w:fldCharType="separate"/>
      </w:r>
      <w:r>
        <w:rPr>
          <w:rFonts w:hint="eastAsia" w:ascii="仿宋_GB2312" w:hAnsi="楷体"/>
          <w:szCs w:val="32"/>
          <w:lang w:eastAsia="zh-CN"/>
        </w:rPr>
        <w:t>五、</w:t>
      </w:r>
      <w:r>
        <w:rPr>
          <w:rFonts w:hint="eastAsia" w:ascii="仿宋_GB2312" w:hAnsi="楷体"/>
          <w:szCs w:val="32"/>
        </w:rPr>
        <w:t>一般公共预算财政拨款支出决算表（一）</w:t>
      </w:r>
      <w:r>
        <w:tab/>
      </w:r>
      <w:r>
        <w:fldChar w:fldCharType="begin"/>
      </w:r>
      <w:r>
        <w:instrText xml:space="preserve"> PAGEREF _Toc26268 \h </w:instrText>
      </w:r>
      <w:r>
        <w:fldChar w:fldCharType="separate"/>
      </w:r>
      <w:r>
        <w:t>4</w:t>
      </w:r>
      <w:r>
        <w:fldChar w:fldCharType="end"/>
      </w:r>
      <w:r>
        <w:fldChar w:fldCharType="end"/>
      </w:r>
    </w:p>
    <w:p>
      <w:pPr>
        <w:pStyle w:val="10"/>
        <w:tabs>
          <w:tab w:val="right" w:leader="dot" w:pos="8640"/>
        </w:tabs>
      </w:pPr>
      <w:r>
        <w:fldChar w:fldCharType="begin"/>
      </w:r>
      <w:r>
        <w:instrText xml:space="preserve"> HYPERLINK \l _Toc4142 </w:instrText>
      </w:r>
      <w:r>
        <w:fldChar w:fldCharType="separate"/>
      </w:r>
      <w:r>
        <w:rPr>
          <w:rFonts w:hint="eastAsia" w:ascii="仿宋_GB2312" w:hAnsi="楷体"/>
          <w:szCs w:val="32"/>
          <w:lang w:eastAsia="zh-CN"/>
        </w:rPr>
        <w:t>六、</w:t>
      </w:r>
      <w:r>
        <w:rPr>
          <w:rFonts w:hint="eastAsia" w:ascii="仿宋_GB2312" w:hAnsi="楷体"/>
          <w:szCs w:val="32"/>
        </w:rPr>
        <w:t>一般公共预算财政拨款支出决算表（二）</w:t>
      </w:r>
      <w:r>
        <w:tab/>
      </w:r>
      <w:r>
        <w:fldChar w:fldCharType="begin"/>
      </w:r>
      <w:r>
        <w:instrText xml:space="preserve"> PAGEREF _Toc4142 \h </w:instrText>
      </w:r>
      <w:r>
        <w:fldChar w:fldCharType="separate"/>
      </w:r>
      <w:r>
        <w:t>4</w:t>
      </w:r>
      <w:r>
        <w:fldChar w:fldCharType="end"/>
      </w:r>
      <w:r>
        <w:fldChar w:fldCharType="end"/>
      </w:r>
    </w:p>
    <w:p>
      <w:pPr>
        <w:pStyle w:val="10"/>
        <w:tabs>
          <w:tab w:val="right" w:leader="dot" w:pos="8640"/>
        </w:tabs>
      </w:pPr>
      <w:r>
        <w:fldChar w:fldCharType="begin"/>
      </w:r>
      <w:r>
        <w:instrText xml:space="preserve"> HYPERLINK \l _Toc18779 </w:instrText>
      </w:r>
      <w:r>
        <w:fldChar w:fldCharType="separate"/>
      </w:r>
      <w:r>
        <w:rPr>
          <w:rFonts w:hint="eastAsia" w:ascii="仿宋_GB2312" w:hAnsi="楷体"/>
          <w:szCs w:val="32"/>
          <w:lang w:eastAsia="zh-CN"/>
        </w:rPr>
        <w:t>七、</w:t>
      </w:r>
      <w:r>
        <w:rPr>
          <w:rFonts w:hint="eastAsia" w:ascii="仿宋_GB2312" w:hAnsi="楷体"/>
          <w:szCs w:val="32"/>
        </w:rPr>
        <w:t>一般公共预算财政拨款“三公”经费支出决算表</w:t>
      </w:r>
      <w:r>
        <w:tab/>
      </w:r>
      <w:r>
        <w:fldChar w:fldCharType="begin"/>
      </w:r>
      <w:r>
        <w:instrText xml:space="preserve"> PAGEREF _Toc18779 \h </w:instrText>
      </w:r>
      <w:r>
        <w:fldChar w:fldCharType="separate"/>
      </w:r>
      <w:r>
        <w:t>5</w:t>
      </w:r>
      <w:r>
        <w:fldChar w:fldCharType="end"/>
      </w:r>
      <w:r>
        <w:fldChar w:fldCharType="end"/>
      </w:r>
    </w:p>
    <w:p>
      <w:pPr>
        <w:pStyle w:val="10"/>
        <w:tabs>
          <w:tab w:val="right" w:leader="dot" w:pos="8640"/>
        </w:tabs>
      </w:pPr>
      <w:r>
        <w:fldChar w:fldCharType="begin"/>
      </w:r>
      <w:r>
        <w:instrText xml:space="preserve"> HYPERLINK \l _Toc19161 </w:instrText>
      </w:r>
      <w:r>
        <w:fldChar w:fldCharType="separate"/>
      </w:r>
      <w:r>
        <w:rPr>
          <w:rFonts w:hint="eastAsia" w:ascii="仿宋_GB2312" w:hAnsi="楷体"/>
          <w:szCs w:val="32"/>
          <w:lang w:eastAsia="zh-CN"/>
        </w:rPr>
        <w:t>八、</w:t>
      </w:r>
      <w:r>
        <w:rPr>
          <w:rFonts w:hint="eastAsia" w:ascii="仿宋_GB2312" w:hAnsi="楷体"/>
          <w:szCs w:val="32"/>
        </w:rPr>
        <w:t>政府性基金预算财政拨款收入支出决算表</w:t>
      </w:r>
      <w:r>
        <w:tab/>
      </w:r>
      <w:r>
        <w:fldChar w:fldCharType="begin"/>
      </w:r>
      <w:r>
        <w:instrText xml:space="preserve"> PAGEREF _Toc19161 \h </w:instrText>
      </w:r>
      <w:r>
        <w:fldChar w:fldCharType="separate"/>
      </w:r>
      <w:r>
        <w:t>5</w:t>
      </w:r>
      <w:r>
        <w:fldChar w:fldCharType="end"/>
      </w:r>
      <w:r>
        <w:fldChar w:fldCharType="end"/>
      </w:r>
    </w:p>
    <w:p>
      <w:pPr>
        <w:pStyle w:val="10"/>
        <w:tabs>
          <w:tab w:val="right" w:leader="dot" w:pos="8640"/>
        </w:tabs>
      </w:pPr>
      <w:r>
        <w:fldChar w:fldCharType="begin"/>
      </w:r>
      <w:r>
        <w:instrText xml:space="preserve"> HYPERLINK \l _Toc4929 </w:instrText>
      </w:r>
      <w:r>
        <w:fldChar w:fldCharType="separate"/>
      </w:r>
      <w:r>
        <w:rPr>
          <w:rFonts w:hint="eastAsia" w:ascii="仿宋_GB2312" w:hAnsi="楷体"/>
          <w:szCs w:val="32"/>
          <w:lang w:eastAsia="zh-CN"/>
        </w:rPr>
        <w:t>九、</w:t>
      </w:r>
      <w:r>
        <w:rPr>
          <w:rFonts w:hint="eastAsia" w:ascii="仿宋_GB2312" w:hAnsi="楷体"/>
          <w:szCs w:val="32"/>
        </w:rPr>
        <w:t>国有资本经营预算财政拨款支出决算表</w:t>
      </w:r>
      <w:r>
        <w:tab/>
      </w:r>
      <w:r>
        <w:fldChar w:fldCharType="begin"/>
      </w:r>
      <w:r>
        <w:instrText xml:space="preserve"> PAGEREF _Toc4929 \h </w:instrText>
      </w:r>
      <w:r>
        <w:fldChar w:fldCharType="separate"/>
      </w:r>
      <w:r>
        <w:t>6</w:t>
      </w:r>
      <w:r>
        <w:fldChar w:fldCharType="end"/>
      </w:r>
      <w:r>
        <w:fldChar w:fldCharType="end"/>
      </w:r>
    </w:p>
    <w:p>
      <w:pPr>
        <w:pStyle w:val="10"/>
        <w:tabs>
          <w:tab w:val="right" w:leader="dot" w:pos="8640"/>
        </w:tabs>
      </w:pPr>
      <w:r>
        <w:fldChar w:fldCharType="begin"/>
      </w:r>
      <w:r>
        <w:instrText xml:space="preserve"> HYPERLINK \l _Toc6031 </w:instrText>
      </w:r>
      <w:r>
        <w:fldChar w:fldCharType="separate"/>
      </w:r>
      <w:r>
        <w:rPr>
          <w:rFonts w:hint="eastAsia" w:ascii="仿宋_GB2312" w:hAnsi="楷体"/>
          <w:szCs w:val="32"/>
          <w:lang w:eastAsia="zh-CN"/>
        </w:rPr>
        <w:t>十、</w:t>
      </w:r>
      <w:r>
        <w:rPr>
          <w:rFonts w:hint="eastAsia" w:ascii="仿宋_GB2312" w:hAnsi="楷体"/>
          <w:szCs w:val="32"/>
        </w:rPr>
        <w:t>部门决算公开相关信息统计表</w:t>
      </w:r>
      <w:r>
        <w:tab/>
      </w:r>
      <w:r>
        <w:fldChar w:fldCharType="begin"/>
      </w:r>
      <w:r>
        <w:instrText xml:space="preserve"> PAGEREF _Toc6031 \h </w:instrText>
      </w:r>
      <w:r>
        <w:fldChar w:fldCharType="separate"/>
      </w:r>
      <w:r>
        <w:t>6</w:t>
      </w:r>
      <w:r>
        <w:fldChar w:fldCharType="end"/>
      </w:r>
      <w:r>
        <w:fldChar w:fldCharType="end"/>
      </w:r>
    </w:p>
    <w:p>
      <w:pPr>
        <w:pStyle w:val="9"/>
        <w:tabs>
          <w:tab w:val="right" w:leader="dot" w:pos="8640"/>
        </w:tabs>
      </w:pPr>
      <w:r>
        <w:fldChar w:fldCharType="begin"/>
      </w:r>
      <w:r>
        <w:instrText xml:space="preserve"> HYPERLINK \l _Toc25987 </w:instrText>
      </w:r>
      <w:r>
        <w:fldChar w:fldCharType="separate"/>
      </w:r>
      <w:r>
        <w:rPr>
          <w:rFonts w:hint="eastAsia" w:ascii="黑体" w:hAnsi="黑体" w:eastAsia="黑体"/>
          <w:szCs w:val="32"/>
        </w:rPr>
        <w:t>第三部分  2021年度部门决算情况说明（可根据实际情况附图说明）</w:t>
      </w:r>
      <w:r>
        <w:tab/>
      </w:r>
      <w:r>
        <w:fldChar w:fldCharType="begin"/>
      </w:r>
      <w:r>
        <w:instrText xml:space="preserve"> PAGEREF _Toc25987 \h </w:instrText>
      </w:r>
      <w:r>
        <w:fldChar w:fldCharType="separate"/>
      </w:r>
      <w:r>
        <w:t>7</w:t>
      </w:r>
      <w:r>
        <w:fldChar w:fldCharType="end"/>
      </w:r>
      <w:r>
        <w:fldChar w:fldCharType="end"/>
      </w:r>
    </w:p>
    <w:p>
      <w:pPr>
        <w:pStyle w:val="10"/>
        <w:tabs>
          <w:tab w:val="right" w:leader="dot" w:pos="8640"/>
        </w:tabs>
      </w:pPr>
      <w:r>
        <w:fldChar w:fldCharType="begin"/>
      </w:r>
      <w:r>
        <w:instrText xml:space="preserve"> HYPERLINK \l _Toc20670 </w:instrText>
      </w:r>
      <w:r>
        <w:fldChar w:fldCharType="separate"/>
      </w:r>
      <w:r>
        <w:rPr>
          <w:rFonts w:hint="eastAsia" w:ascii="仿宋_GB2312"/>
          <w:szCs w:val="32"/>
        </w:rPr>
        <w:t>一、收入支出决算总体情况说明</w:t>
      </w:r>
      <w:r>
        <w:tab/>
      </w:r>
      <w:r>
        <w:fldChar w:fldCharType="begin"/>
      </w:r>
      <w:r>
        <w:instrText xml:space="preserve"> PAGEREF _Toc20670 \h </w:instrText>
      </w:r>
      <w:r>
        <w:fldChar w:fldCharType="separate"/>
      </w:r>
      <w:r>
        <w:t>7</w:t>
      </w:r>
      <w:r>
        <w:fldChar w:fldCharType="end"/>
      </w:r>
      <w:r>
        <w:fldChar w:fldCharType="end"/>
      </w:r>
    </w:p>
    <w:p>
      <w:pPr>
        <w:pStyle w:val="10"/>
        <w:tabs>
          <w:tab w:val="right" w:leader="dot" w:pos="8640"/>
        </w:tabs>
      </w:pPr>
      <w:r>
        <w:fldChar w:fldCharType="begin"/>
      </w:r>
      <w:r>
        <w:instrText xml:space="preserve"> HYPERLINK \l _Toc7864 </w:instrText>
      </w:r>
      <w:r>
        <w:fldChar w:fldCharType="separate"/>
      </w:r>
      <w:r>
        <w:rPr>
          <w:rFonts w:hint="eastAsia" w:ascii="仿宋_GB2312"/>
          <w:szCs w:val="32"/>
        </w:rPr>
        <w:t>二、收入决算情况说明</w:t>
      </w:r>
      <w:r>
        <w:tab/>
      </w:r>
      <w:r>
        <w:fldChar w:fldCharType="begin"/>
      </w:r>
      <w:r>
        <w:instrText xml:space="preserve"> PAGEREF _Toc7864 \h </w:instrText>
      </w:r>
      <w:r>
        <w:fldChar w:fldCharType="separate"/>
      </w:r>
      <w:r>
        <w:t>7</w:t>
      </w:r>
      <w:r>
        <w:fldChar w:fldCharType="end"/>
      </w:r>
      <w:r>
        <w:fldChar w:fldCharType="end"/>
      </w:r>
    </w:p>
    <w:p>
      <w:pPr>
        <w:pStyle w:val="10"/>
        <w:tabs>
          <w:tab w:val="right" w:leader="dot" w:pos="8640"/>
        </w:tabs>
      </w:pPr>
      <w:r>
        <w:fldChar w:fldCharType="begin"/>
      </w:r>
      <w:r>
        <w:instrText xml:space="preserve"> HYPERLINK \l _Toc6393 </w:instrText>
      </w:r>
      <w:r>
        <w:fldChar w:fldCharType="separate"/>
      </w:r>
      <w:r>
        <w:rPr>
          <w:rFonts w:hint="eastAsia" w:ascii="仿宋_GB2312"/>
          <w:szCs w:val="32"/>
        </w:rPr>
        <w:t>三、支出决算情况说明</w:t>
      </w:r>
      <w:r>
        <w:tab/>
      </w:r>
      <w:r>
        <w:fldChar w:fldCharType="begin"/>
      </w:r>
      <w:r>
        <w:instrText xml:space="preserve"> PAGEREF _Toc6393 \h </w:instrText>
      </w:r>
      <w:r>
        <w:fldChar w:fldCharType="separate"/>
      </w:r>
      <w:r>
        <w:t>8</w:t>
      </w:r>
      <w:r>
        <w:fldChar w:fldCharType="end"/>
      </w:r>
      <w:r>
        <w:fldChar w:fldCharType="end"/>
      </w:r>
    </w:p>
    <w:p>
      <w:pPr>
        <w:pStyle w:val="10"/>
        <w:tabs>
          <w:tab w:val="right" w:leader="dot" w:pos="8640"/>
        </w:tabs>
      </w:pPr>
      <w:r>
        <w:fldChar w:fldCharType="begin"/>
      </w:r>
      <w:r>
        <w:instrText xml:space="preserve"> HYPERLINK \l _Toc1051 </w:instrText>
      </w:r>
      <w:r>
        <w:fldChar w:fldCharType="separate"/>
      </w:r>
      <w:r>
        <w:rPr>
          <w:rFonts w:hint="eastAsia" w:ascii="仿宋_GB2312"/>
          <w:szCs w:val="32"/>
        </w:rPr>
        <w:t>四、财政拨款收入支出决算总体情况说明</w:t>
      </w:r>
      <w:r>
        <w:tab/>
      </w:r>
      <w:r>
        <w:fldChar w:fldCharType="begin"/>
      </w:r>
      <w:r>
        <w:instrText xml:space="preserve"> PAGEREF _Toc1051 \h </w:instrText>
      </w:r>
      <w:r>
        <w:fldChar w:fldCharType="separate"/>
      </w:r>
      <w:r>
        <w:t>8</w:t>
      </w:r>
      <w:r>
        <w:fldChar w:fldCharType="end"/>
      </w:r>
      <w:r>
        <w:fldChar w:fldCharType="end"/>
      </w:r>
    </w:p>
    <w:p>
      <w:pPr>
        <w:pStyle w:val="10"/>
        <w:tabs>
          <w:tab w:val="right" w:leader="dot" w:pos="8640"/>
        </w:tabs>
      </w:pPr>
      <w:r>
        <w:fldChar w:fldCharType="begin"/>
      </w:r>
      <w:r>
        <w:instrText xml:space="preserve"> HYPERLINK \l _Toc25018 </w:instrText>
      </w:r>
      <w:r>
        <w:fldChar w:fldCharType="separate"/>
      </w:r>
      <w:r>
        <w:rPr>
          <w:rFonts w:hint="eastAsia" w:ascii="仿宋_GB2312"/>
          <w:szCs w:val="32"/>
        </w:rPr>
        <w:t>五、一般公共预算财政拨款支出决算情况说明</w:t>
      </w:r>
      <w:r>
        <w:tab/>
      </w:r>
      <w:r>
        <w:fldChar w:fldCharType="begin"/>
      </w:r>
      <w:r>
        <w:instrText xml:space="preserve"> PAGEREF _Toc25018 \h </w:instrText>
      </w:r>
      <w:r>
        <w:fldChar w:fldCharType="separate"/>
      </w:r>
      <w:r>
        <w:t>9</w:t>
      </w:r>
      <w:r>
        <w:fldChar w:fldCharType="end"/>
      </w:r>
      <w:r>
        <w:fldChar w:fldCharType="end"/>
      </w:r>
    </w:p>
    <w:p>
      <w:pPr>
        <w:pStyle w:val="5"/>
        <w:tabs>
          <w:tab w:val="right" w:leader="dot" w:pos="8640"/>
        </w:tabs>
      </w:pPr>
      <w:r>
        <w:fldChar w:fldCharType="begin"/>
      </w:r>
      <w:r>
        <w:instrText xml:space="preserve"> HYPERLINK \l _Toc9659 </w:instrText>
      </w:r>
      <w:r>
        <w:fldChar w:fldCharType="separate"/>
      </w:r>
      <w:r>
        <w:rPr>
          <w:rFonts w:hint="eastAsia" w:ascii="仿宋_GB2312"/>
          <w:szCs w:val="32"/>
        </w:rPr>
        <w:t>（一）财政拨款支出决算总体情况</w:t>
      </w:r>
      <w:r>
        <w:tab/>
      </w:r>
      <w:r>
        <w:fldChar w:fldCharType="begin"/>
      </w:r>
      <w:r>
        <w:instrText xml:space="preserve"> PAGEREF _Toc9659 \h </w:instrText>
      </w:r>
      <w:r>
        <w:fldChar w:fldCharType="separate"/>
      </w:r>
      <w:r>
        <w:t>9</w:t>
      </w:r>
      <w:r>
        <w:fldChar w:fldCharType="end"/>
      </w:r>
      <w:r>
        <w:fldChar w:fldCharType="end"/>
      </w:r>
    </w:p>
    <w:p>
      <w:pPr>
        <w:pStyle w:val="5"/>
        <w:tabs>
          <w:tab w:val="right" w:leader="dot" w:pos="8640"/>
        </w:tabs>
      </w:pPr>
      <w:r>
        <w:fldChar w:fldCharType="begin"/>
      </w:r>
      <w:r>
        <w:instrText xml:space="preserve"> HYPERLINK \l _Toc21835 </w:instrText>
      </w:r>
      <w:r>
        <w:fldChar w:fldCharType="separate"/>
      </w:r>
      <w:r>
        <w:rPr>
          <w:rFonts w:hint="eastAsia" w:ascii="仿宋_GB2312"/>
          <w:szCs w:val="32"/>
        </w:rPr>
        <w:t>（二）财政拨款</w:t>
      </w:r>
      <w:r>
        <w:rPr>
          <w:rFonts w:ascii="仿宋_GB2312"/>
          <w:szCs w:val="32"/>
        </w:rPr>
        <w:t>支出决算结构情况</w:t>
      </w:r>
      <w:r>
        <w:tab/>
      </w:r>
      <w:r>
        <w:fldChar w:fldCharType="begin"/>
      </w:r>
      <w:r>
        <w:instrText xml:space="preserve"> PAGEREF _Toc21835 \h </w:instrText>
      </w:r>
      <w:r>
        <w:fldChar w:fldCharType="separate"/>
      </w:r>
      <w:r>
        <w:t>10</w:t>
      </w:r>
      <w:r>
        <w:fldChar w:fldCharType="end"/>
      </w:r>
      <w:r>
        <w:fldChar w:fldCharType="end"/>
      </w:r>
    </w:p>
    <w:p>
      <w:pPr>
        <w:pStyle w:val="5"/>
        <w:tabs>
          <w:tab w:val="right" w:leader="dot" w:pos="8640"/>
        </w:tabs>
      </w:pPr>
      <w:r>
        <w:fldChar w:fldCharType="begin"/>
      </w:r>
      <w:r>
        <w:instrText xml:space="preserve"> HYPERLINK \l _Toc23888 </w:instrText>
      </w:r>
      <w:r>
        <w:fldChar w:fldCharType="separate"/>
      </w:r>
      <w:r>
        <w:rPr>
          <w:rFonts w:hint="eastAsia" w:ascii="仿宋_GB2312"/>
          <w:szCs w:val="32"/>
        </w:rPr>
        <w:t>（三）财政拨款支出决算具体情况</w:t>
      </w:r>
      <w:r>
        <w:tab/>
      </w:r>
      <w:r>
        <w:fldChar w:fldCharType="begin"/>
      </w:r>
      <w:r>
        <w:instrText xml:space="preserve"> PAGEREF _Toc23888 \h </w:instrText>
      </w:r>
      <w:r>
        <w:fldChar w:fldCharType="separate"/>
      </w:r>
      <w:r>
        <w:t>11</w:t>
      </w:r>
      <w:r>
        <w:fldChar w:fldCharType="end"/>
      </w:r>
      <w:r>
        <w:fldChar w:fldCharType="end"/>
      </w:r>
    </w:p>
    <w:p>
      <w:pPr>
        <w:pStyle w:val="10"/>
        <w:tabs>
          <w:tab w:val="right" w:leader="dot" w:pos="8640"/>
        </w:tabs>
      </w:pPr>
      <w:r>
        <w:fldChar w:fldCharType="begin"/>
      </w:r>
      <w:r>
        <w:instrText xml:space="preserve"> HYPERLINK \l _Toc9425 </w:instrText>
      </w:r>
      <w:r>
        <w:fldChar w:fldCharType="separate"/>
      </w:r>
      <w:r>
        <w:rPr>
          <w:rFonts w:hint="eastAsia"/>
          <w:szCs w:val="32"/>
        </w:rPr>
        <w:t>六、一般公共预算</w:t>
      </w:r>
      <w:r>
        <w:rPr>
          <w:szCs w:val="32"/>
        </w:rPr>
        <w:t>财政拨款基本支出决算情况说明</w:t>
      </w:r>
      <w:r>
        <w:tab/>
      </w:r>
      <w:r>
        <w:fldChar w:fldCharType="begin"/>
      </w:r>
      <w:r>
        <w:instrText xml:space="preserve"> PAGEREF _Toc9425 \h </w:instrText>
      </w:r>
      <w:r>
        <w:fldChar w:fldCharType="separate"/>
      </w:r>
      <w:r>
        <w:t>12</w:t>
      </w:r>
      <w:r>
        <w:fldChar w:fldCharType="end"/>
      </w:r>
      <w:r>
        <w:fldChar w:fldCharType="end"/>
      </w:r>
    </w:p>
    <w:p>
      <w:pPr>
        <w:pStyle w:val="10"/>
        <w:tabs>
          <w:tab w:val="right" w:leader="dot" w:pos="8640"/>
        </w:tabs>
      </w:pPr>
      <w:r>
        <w:fldChar w:fldCharType="begin"/>
      </w:r>
      <w:r>
        <w:instrText xml:space="preserve"> HYPERLINK \l _Toc1166 </w:instrText>
      </w:r>
      <w:r>
        <w:fldChar w:fldCharType="separate"/>
      </w:r>
      <w:r>
        <w:rPr>
          <w:rFonts w:hint="eastAsia" w:ascii="仿宋_GB2312"/>
          <w:szCs w:val="32"/>
        </w:rPr>
        <w:t>七、一般公共预算财政拨款“三公”经费支出决算情况说明</w:t>
      </w:r>
      <w:r>
        <w:tab/>
      </w:r>
      <w:r>
        <w:fldChar w:fldCharType="begin"/>
      </w:r>
      <w:r>
        <w:instrText xml:space="preserve"> PAGEREF _Toc1166 \h </w:instrText>
      </w:r>
      <w:r>
        <w:fldChar w:fldCharType="separate"/>
      </w:r>
      <w:r>
        <w:t>13</w:t>
      </w:r>
      <w:r>
        <w:fldChar w:fldCharType="end"/>
      </w:r>
      <w:r>
        <w:fldChar w:fldCharType="end"/>
      </w:r>
    </w:p>
    <w:p>
      <w:pPr>
        <w:pStyle w:val="10"/>
        <w:tabs>
          <w:tab w:val="right" w:leader="dot" w:pos="8640"/>
        </w:tabs>
      </w:pPr>
      <w:r>
        <w:fldChar w:fldCharType="begin"/>
      </w:r>
      <w:r>
        <w:instrText xml:space="preserve"> HYPERLINK \l _Toc971 </w:instrText>
      </w:r>
      <w:r>
        <w:fldChar w:fldCharType="separate"/>
      </w:r>
      <w:r>
        <w:rPr>
          <w:rFonts w:hint="eastAsia"/>
          <w:szCs w:val="32"/>
        </w:rPr>
        <w:t>八、其他重要事项情况说明</w:t>
      </w:r>
      <w:r>
        <w:tab/>
      </w:r>
      <w:r>
        <w:fldChar w:fldCharType="begin"/>
      </w:r>
      <w:r>
        <w:instrText xml:space="preserve"> PAGEREF _Toc971 \h </w:instrText>
      </w:r>
      <w:r>
        <w:fldChar w:fldCharType="separate"/>
      </w:r>
      <w:r>
        <w:t>13</w:t>
      </w:r>
      <w:r>
        <w:fldChar w:fldCharType="end"/>
      </w:r>
      <w:r>
        <w:fldChar w:fldCharType="end"/>
      </w:r>
    </w:p>
    <w:p>
      <w:pPr>
        <w:pStyle w:val="5"/>
        <w:tabs>
          <w:tab w:val="right" w:leader="dot" w:pos="8640"/>
        </w:tabs>
      </w:pPr>
      <w:r>
        <w:fldChar w:fldCharType="begin"/>
      </w:r>
      <w:r>
        <w:instrText xml:space="preserve"> HYPERLINK \l _Toc10022 </w:instrText>
      </w:r>
      <w:r>
        <w:fldChar w:fldCharType="separate"/>
      </w:r>
      <w:r>
        <w:rPr>
          <w:rFonts w:hint="eastAsia" w:ascii="仿宋_GB2312"/>
          <w:szCs w:val="32"/>
        </w:rPr>
        <w:t>（一）机关运行经费支出情况说明</w:t>
      </w:r>
      <w:r>
        <w:tab/>
      </w:r>
      <w:r>
        <w:fldChar w:fldCharType="begin"/>
      </w:r>
      <w:r>
        <w:instrText xml:space="preserve"> PAGEREF _Toc10022 \h </w:instrText>
      </w:r>
      <w:r>
        <w:fldChar w:fldCharType="separate"/>
      </w:r>
      <w:r>
        <w:t>13</w:t>
      </w:r>
      <w:r>
        <w:fldChar w:fldCharType="end"/>
      </w:r>
      <w:r>
        <w:fldChar w:fldCharType="end"/>
      </w:r>
    </w:p>
    <w:p>
      <w:pPr>
        <w:pStyle w:val="5"/>
        <w:tabs>
          <w:tab w:val="right" w:leader="dot" w:pos="8640"/>
        </w:tabs>
      </w:pPr>
      <w:r>
        <w:fldChar w:fldCharType="begin"/>
      </w:r>
      <w:r>
        <w:instrText xml:space="preserve"> HYPERLINK \l _Toc9357 </w:instrText>
      </w:r>
      <w:r>
        <w:fldChar w:fldCharType="separate"/>
      </w:r>
      <w:r>
        <w:rPr>
          <w:rFonts w:hint="eastAsia" w:ascii="仿宋_GB2312"/>
          <w:szCs w:val="32"/>
        </w:rPr>
        <w:t>（二）政府采购情况说明</w:t>
      </w:r>
      <w:r>
        <w:tab/>
      </w:r>
      <w:r>
        <w:fldChar w:fldCharType="begin"/>
      </w:r>
      <w:r>
        <w:instrText xml:space="preserve"> PAGEREF _Toc9357 \h </w:instrText>
      </w:r>
      <w:r>
        <w:fldChar w:fldCharType="separate"/>
      </w:r>
      <w:r>
        <w:t>13</w:t>
      </w:r>
      <w:r>
        <w:fldChar w:fldCharType="end"/>
      </w:r>
      <w:r>
        <w:fldChar w:fldCharType="end"/>
      </w:r>
    </w:p>
    <w:p>
      <w:pPr>
        <w:pStyle w:val="5"/>
        <w:tabs>
          <w:tab w:val="right" w:leader="dot" w:pos="8640"/>
        </w:tabs>
      </w:pPr>
      <w:r>
        <w:fldChar w:fldCharType="begin"/>
      </w:r>
      <w:r>
        <w:instrText xml:space="preserve"> HYPERLINK \l _Toc21985 </w:instrText>
      </w:r>
      <w:r>
        <w:fldChar w:fldCharType="separate"/>
      </w:r>
      <w:r>
        <w:rPr>
          <w:rFonts w:hint="eastAsia" w:ascii="仿宋_GB2312"/>
          <w:szCs w:val="32"/>
        </w:rPr>
        <w:t>（三）国有资产占用情况说明</w:t>
      </w:r>
      <w:r>
        <w:tab/>
      </w:r>
      <w:r>
        <w:fldChar w:fldCharType="begin"/>
      </w:r>
      <w:r>
        <w:instrText xml:space="preserve"> PAGEREF _Toc21985 \h </w:instrText>
      </w:r>
      <w:r>
        <w:fldChar w:fldCharType="separate"/>
      </w:r>
      <w:r>
        <w:t>13</w:t>
      </w:r>
      <w:r>
        <w:fldChar w:fldCharType="end"/>
      </w:r>
      <w:r>
        <w:fldChar w:fldCharType="end"/>
      </w:r>
    </w:p>
    <w:p>
      <w:pPr>
        <w:pStyle w:val="5"/>
        <w:tabs>
          <w:tab w:val="right" w:leader="dot" w:pos="8640"/>
        </w:tabs>
      </w:pPr>
      <w:r>
        <w:fldChar w:fldCharType="begin"/>
      </w:r>
      <w:r>
        <w:instrText xml:space="preserve"> HYPERLINK \l _Toc25974 </w:instrText>
      </w:r>
      <w:r>
        <w:fldChar w:fldCharType="separate"/>
      </w:r>
      <w:r>
        <w:rPr>
          <w:rFonts w:hint="eastAsia" w:ascii="仿宋_GB2312"/>
          <w:szCs w:val="32"/>
        </w:rPr>
        <w:t>（四） 预算绩效情况说明</w:t>
      </w:r>
      <w:r>
        <w:tab/>
      </w:r>
      <w:r>
        <w:fldChar w:fldCharType="begin"/>
      </w:r>
      <w:r>
        <w:instrText xml:space="preserve"> PAGEREF _Toc25974 \h </w:instrText>
      </w:r>
      <w:r>
        <w:fldChar w:fldCharType="separate"/>
      </w:r>
      <w:r>
        <w:t>13</w:t>
      </w:r>
      <w:r>
        <w:fldChar w:fldCharType="end"/>
      </w:r>
      <w:r>
        <w:fldChar w:fldCharType="end"/>
      </w:r>
    </w:p>
    <w:p>
      <w:pPr>
        <w:pStyle w:val="5"/>
        <w:tabs>
          <w:tab w:val="right" w:leader="dot" w:pos="8640"/>
        </w:tabs>
      </w:pPr>
      <w:r>
        <w:fldChar w:fldCharType="begin"/>
      </w:r>
      <w:r>
        <w:instrText xml:space="preserve"> HYPERLINK \l _Toc11125 </w:instrText>
      </w:r>
      <w:r>
        <w:fldChar w:fldCharType="separate"/>
      </w:r>
      <w:r>
        <w:rPr>
          <w:rFonts w:hint="eastAsia" w:ascii="仿宋_GB2312"/>
          <w:szCs w:val="32"/>
        </w:rPr>
        <w:t>（五）其他需要说明的事项</w:t>
      </w:r>
      <w:r>
        <w:tab/>
      </w:r>
      <w:r>
        <w:fldChar w:fldCharType="begin"/>
      </w:r>
      <w:r>
        <w:instrText xml:space="preserve"> PAGEREF _Toc11125 \h </w:instrText>
      </w:r>
      <w:r>
        <w:fldChar w:fldCharType="separate"/>
      </w:r>
      <w:r>
        <w:t>14</w:t>
      </w:r>
      <w:r>
        <w:fldChar w:fldCharType="end"/>
      </w:r>
      <w:r>
        <w:fldChar w:fldCharType="end"/>
      </w:r>
    </w:p>
    <w:p>
      <w:pPr>
        <w:pStyle w:val="9"/>
        <w:tabs>
          <w:tab w:val="right" w:leader="dot" w:pos="8640"/>
        </w:tabs>
      </w:pPr>
      <w:r>
        <w:fldChar w:fldCharType="begin"/>
      </w:r>
      <w:r>
        <w:instrText xml:space="preserve"> HYPERLINK \l _Toc7412 </w:instrText>
      </w:r>
      <w:r>
        <w:fldChar w:fldCharType="separate"/>
      </w:r>
      <w:r>
        <w:rPr>
          <w:rFonts w:hint="eastAsia" w:ascii="黑体" w:hAnsi="黑体" w:eastAsia="黑体"/>
          <w:szCs w:val="32"/>
        </w:rPr>
        <w:t>第四部分  名词解释</w:t>
      </w:r>
      <w:r>
        <w:tab/>
      </w:r>
      <w:r>
        <w:fldChar w:fldCharType="begin"/>
      </w:r>
      <w:r>
        <w:instrText xml:space="preserve"> PAGEREF _Toc7412 \h </w:instrText>
      </w:r>
      <w:r>
        <w:fldChar w:fldCharType="separate"/>
      </w:r>
      <w:r>
        <w:t>14</w:t>
      </w:r>
      <w:r>
        <w:fldChar w:fldCharType="end"/>
      </w:r>
      <w:r>
        <w:fldChar w:fldCharType="end"/>
      </w:r>
    </w:p>
    <w:p>
      <w:pPr>
        <w:pStyle w:val="9"/>
        <w:tabs>
          <w:tab w:val="right" w:leader="dot" w:pos="8640"/>
        </w:tabs>
      </w:pPr>
      <w:r>
        <w:fldChar w:fldCharType="begin"/>
      </w:r>
      <w:r>
        <w:instrText xml:space="preserve"> HYPERLINK \l _Toc22776 </w:instrText>
      </w:r>
      <w:r>
        <w:fldChar w:fldCharType="separate"/>
      </w:r>
      <w:r>
        <w:rPr>
          <w:rFonts w:hint="eastAsia" w:ascii="黑体" w:hAnsi="黑体" w:eastAsia="黑体" w:cs="Times New Roman"/>
          <w:szCs w:val="32"/>
        </w:rPr>
        <w:t>第五部分  附件</w:t>
      </w:r>
      <w:r>
        <w:tab/>
      </w:r>
      <w:r>
        <w:fldChar w:fldCharType="begin"/>
      </w:r>
      <w:r>
        <w:instrText xml:space="preserve"> PAGEREF _Toc22776 \h </w:instrText>
      </w:r>
      <w:r>
        <w:fldChar w:fldCharType="separate"/>
      </w:r>
      <w:r>
        <w:t>16</w:t>
      </w:r>
      <w:r>
        <w:fldChar w:fldCharType="end"/>
      </w:r>
      <w:r>
        <w:fldChar w:fldCharType="end"/>
      </w:r>
    </w:p>
    <w:p>
      <w:pPr>
        <w:rPr>
          <w:rFonts w:hint="eastAsia" w:ascii="黑体" w:hAnsi="黑体" w:eastAsia="黑体"/>
          <w:szCs w:val="32"/>
        </w:rPr>
        <w:sectPr>
          <w:headerReference r:id="rId5" w:type="default"/>
          <w:footerReference r:id="rId6" w:type="default"/>
          <w:pgSz w:w="12240" w:h="15840"/>
          <w:pgMar w:top="1440" w:right="1800" w:bottom="1440" w:left="1800" w:header="567" w:footer="992" w:gutter="0"/>
          <w:pgNumType w:start="1"/>
          <w:cols w:space="720" w:num="1"/>
          <w:docGrid w:type="lines" w:linePitch="435" w:charSpace="0"/>
        </w:sectPr>
      </w:pPr>
      <w:r>
        <w:fldChar w:fldCharType="end"/>
      </w:r>
    </w:p>
    <w:p>
      <w:pPr>
        <w:ind w:firstLine="640"/>
        <w:outlineLvl w:val="0"/>
        <w:rPr>
          <w:rFonts w:ascii="黑体" w:hAnsi="黑体" w:eastAsia="黑体"/>
          <w:szCs w:val="32"/>
        </w:rPr>
      </w:pPr>
      <w:bookmarkStart w:id="0" w:name="_Toc28145"/>
      <w:r>
        <w:rPr>
          <w:rFonts w:hint="eastAsia" w:ascii="黑体" w:hAnsi="黑体" w:eastAsia="黑体"/>
          <w:szCs w:val="32"/>
        </w:rPr>
        <w:t>第一部分  概况</w:t>
      </w:r>
      <w:bookmarkEnd w:id="0"/>
    </w:p>
    <w:p>
      <w:pPr>
        <w:ind w:firstLine="640"/>
        <w:outlineLvl w:val="1"/>
        <w:rPr>
          <w:rFonts w:hint="eastAsia" w:ascii="仿宋_GB2312" w:hAnsi="楷体"/>
          <w:szCs w:val="32"/>
        </w:rPr>
      </w:pPr>
      <w:bookmarkStart w:id="1" w:name="_Toc28609"/>
      <w:r>
        <w:rPr>
          <w:rFonts w:hint="eastAsia" w:ascii="仿宋_GB2312" w:hAnsi="楷体"/>
          <w:szCs w:val="32"/>
        </w:rPr>
        <w:t>一、本单位职责</w:t>
      </w:r>
      <w:bookmarkEnd w:id="1"/>
    </w:p>
    <w:p>
      <w:pPr>
        <w:snapToGrid w:val="0"/>
        <w:spacing w:line="520" w:lineRule="exact"/>
        <w:ind w:firstLine="640"/>
        <w:rPr>
          <w:rFonts w:hint="eastAsia" w:ascii="仿宋_GB2312" w:hAnsi="仿宋"/>
          <w:szCs w:val="32"/>
        </w:rPr>
      </w:pPr>
      <w:r>
        <w:rPr>
          <w:rFonts w:hint="eastAsia" w:ascii="仿宋_GB2312" w:hAnsi="仿宋"/>
          <w:szCs w:val="32"/>
        </w:rPr>
        <w:t>中央农业广播学校襄汾县分校承担全县农民教育培训、农村实用人才培养、新型职业农民培育及认定管理事物。</w:t>
      </w:r>
    </w:p>
    <w:p>
      <w:pPr>
        <w:ind w:firstLine="640"/>
        <w:outlineLvl w:val="1"/>
        <w:rPr>
          <w:rFonts w:hint="eastAsia" w:ascii="仿宋_GB2312" w:hAnsi="楷体"/>
          <w:szCs w:val="32"/>
        </w:rPr>
      </w:pPr>
      <w:bookmarkStart w:id="2" w:name="_Toc12646"/>
      <w:r>
        <w:rPr>
          <w:rFonts w:hint="eastAsia" w:ascii="仿宋_GB2312" w:hAnsi="楷体"/>
          <w:szCs w:val="32"/>
        </w:rPr>
        <w:t>二、机构设置情况</w:t>
      </w:r>
      <w:bookmarkEnd w:id="2"/>
    </w:p>
    <w:p>
      <w:pPr>
        <w:snapToGrid w:val="0"/>
        <w:spacing w:line="520" w:lineRule="exact"/>
        <w:ind w:firstLine="640"/>
        <w:rPr>
          <w:rFonts w:hint="eastAsia" w:ascii="仿宋_GB2312" w:hAnsi="仿宋"/>
          <w:szCs w:val="32"/>
        </w:rPr>
      </w:pPr>
      <w:r>
        <w:rPr>
          <w:rFonts w:hint="eastAsia" w:ascii="仿宋_GB2312" w:hAnsi="仿宋"/>
          <w:szCs w:val="32"/>
        </w:rPr>
        <w:t>中央农业广播学校襄汾县分校属于正科级事业单位，内设综合办公室和教务办公室。其财政财务关系隶属于县财政局。</w:t>
      </w:r>
    </w:p>
    <w:p>
      <w:pPr>
        <w:ind w:firstLine="640"/>
        <w:outlineLvl w:val="0"/>
        <w:rPr>
          <w:rFonts w:hint="eastAsia" w:ascii="黑体" w:hAnsi="黑体" w:eastAsia="黑体"/>
          <w:szCs w:val="32"/>
        </w:rPr>
      </w:pPr>
      <w:bookmarkStart w:id="3" w:name="_Toc18411"/>
      <w:r>
        <w:rPr>
          <w:rFonts w:hint="eastAsia" w:ascii="黑体" w:hAnsi="黑体" w:eastAsia="黑体"/>
          <w:szCs w:val="32"/>
        </w:rPr>
        <w:t>第二部分  2021年度部门决算报表</w:t>
      </w:r>
      <w:bookmarkEnd w:id="3"/>
    </w:p>
    <w:p>
      <w:pPr>
        <w:numPr>
          <w:ilvl w:val="0"/>
          <w:numId w:val="0"/>
        </w:numPr>
        <w:ind w:left="640" w:leftChars="0"/>
        <w:outlineLvl w:val="1"/>
        <w:rPr>
          <w:rFonts w:hint="eastAsia" w:ascii="仿宋_GB2312" w:hAnsi="楷体"/>
          <w:szCs w:val="32"/>
        </w:rPr>
      </w:pPr>
      <w:bookmarkStart w:id="4" w:name="_Toc8178"/>
      <w:r>
        <w:rPr>
          <w:rFonts w:hint="eastAsia" w:ascii="仿宋_GB2312" w:hAnsi="楷体"/>
          <w:szCs w:val="32"/>
          <w:lang w:eastAsia="zh-CN"/>
        </w:rPr>
        <w:t>一、</w:t>
      </w:r>
      <w:r>
        <w:rPr>
          <w:rFonts w:hint="eastAsia" w:ascii="仿宋_GB2312" w:hAnsi="楷体"/>
          <w:szCs w:val="32"/>
        </w:rPr>
        <w:t>收入支出决算总表</w:t>
      </w:r>
      <w:bookmarkEnd w:id="4"/>
    </w:p>
    <w:p>
      <w:pPr>
        <w:spacing w:line="240" w:lineRule="auto"/>
        <w:ind w:firstLineChars="0"/>
        <w:rPr>
          <w:rFonts w:hint="eastAsia" w:ascii="仿宋_GB2312" w:hAnsi="楷体"/>
          <w:szCs w:val="32"/>
        </w:rPr>
      </w:pPr>
      <w:r>
        <w:rPr>
          <w:rFonts w:hint="eastAsia" w:ascii="仿宋_GB2312" w:hAnsi="楷体"/>
          <w:szCs w:val="32"/>
        </w:rPr>
        <w:drawing>
          <wp:inline distT="0" distB="0" distL="114300" distR="114300">
            <wp:extent cx="5479415" cy="4775835"/>
            <wp:effectExtent l="0" t="0" r="6985" b="571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a:off x="0" y="0"/>
                      <a:ext cx="5479415" cy="4775835"/>
                    </a:xfrm>
                    <a:prstGeom prst="rect">
                      <a:avLst/>
                    </a:prstGeom>
                    <a:noFill/>
                    <a:ln>
                      <a:noFill/>
                    </a:ln>
                  </pic:spPr>
                </pic:pic>
              </a:graphicData>
            </a:graphic>
          </wp:inline>
        </w:drawing>
      </w:r>
    </w:p>
    <w:p>
      <w:pPr>
        <w:numPr>
          <w:ilvl w:val="0"/>
          <w:numId w:val="0"/>
        </w:numPr>
        <w:ind w:left="640" w:leftChars="0"/>
        <w:outlineLvl w:val="1"/>
        <w:rPr>
          <w:rFonts w:hint="eastAsia" w:ascii="仿宋_GB2312" w:hAnsi="楷体"/>
          <w:szCs w:val="32"/>
        </w:rPr>
      </w:pPr>
      <w:bookmarkStart w:id="5" w:name="_Toc31557"/>
      <w:r>
        <w:rPr>
          <w:rFonts w:hint="eastAsia" w:ascii="仿宋_GB2312" w:hAnsi="楷体"/>
          <w:szCs w:val="32"/>
          <w:lang w:eastAsia="zh-CN"/>
        </w:rPr>
        <w:t>二、</w:t>
      </w:r>
      <w:r>
        <w:rPr>
          <w:rFonts w:hint="eastAsia" w:ascii="仿宋_GB2312" w:hAnsi="楷体"/>
          <w:szCs w:val="32"/>
        </w:rPr>
        <w:t>收入决算表</w:t>
      </w:r>
      <w:bookmarkEnd w:id="5"/>
    </w:p>
    <w:p>
      <w:pPr>
        <w:spacing w:line="240" w:lineRule="auto"/>
        <w:ind w:firstLine="0" w:firstLineChars="0"/>
        <w:rPr>
          <w:rFonts w:hint="eastAsia" w:ascii="仿宋_GB2312" w:hAnsi="楷体"/>
          <w:szCs w:val="32"/>
        </w:rPr>
      </w:pPr>
      <w:r>
        <w:rPr>
          <w:rFonts w:hint="eastAsia" w:ascii="仿宋_GB2312" w:hAnsi="楷体"/>
          <w:szCs w:val="32"/>
        </w:rPr>
        <w:drawing>
          <wp:inline distT="0" distB="0" distL="114300" distR="114300">
            <wp:extent cx="5483225" cy="3251200"/>
            <wp:effectExtent l="0" t="0" r="3175" b="6350"/>
            <wp:docPr id="2"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图片2"/>
                    <pic:cNvPicPr>
                      <a:picLocks noChangeAspect="1"/>
                    </pic:cNvPicPr>
                  </pic:nvPicPr>
                  <pic:blipFill>
                    <a:blip r:embed="rId10"/>
                    <a:stretch>
                      <a:fillRect/>
                    </a:stretch>
                  </pic:blipFill>
                  <pic:spPr>
                    <a:xfrm>
                      <a:off x="0" y="0"/>
                      <a:ext cx="5483225" cy="3251200"/>
                    </a:xfrm>
                    <a:prstGeom prst="rect">
                      <a:avLst/>
                    </a:prstGeom>
                    <a:noFill/>
                    <a:ln>
                      <a:noFill/>
                    </a:ln>
                  </pic:spPr>
                </pic:pic>
              </a:graphicData>
            </a:graphic>
          </wp:inline>
        </w:drawing>
      </w:r>
    </w:p>
    <w:p>
      <w:pPr>
        <w:spacing w:line="240" w:lineRule="auto"/>
        <w:ind w:firstLine="0" w:firstLineChars="0"/>
        <w:rPr>
          <w:rFonts w:hint="eastAsia" w:ascii="仿宋_GB2312" w:hAnsi="楷体"/>
          <w:szCs w:val="32"/>
        </w:rPr>
      </w:pPr>
    </w:p>
    <w:p>
      <w:pPr>
        <w:numPr>
          <w:ilvl w:val="0"/>
          <w:numId w:val="0"/>
        </w:numPr>
        <w:ind w:left="640" w:leftChars="0"/>
        <w:outlineLvl w:val="1"/>
        <w:rPr>
          <w:rFonts w:hint="eastAsia" w:ascii="仿宋_GB2312" w:hAnsi="楷体"/>
          <w:szCs w:val="32"/>
        </w:rPr>
      </w:pPr>
      <w:bookmarkStart w:id="6" w:name="_Toc23682"/>
      <w:r>
        <w:rPr>
          <w:rFonts w:hint="eastAsia" w:ascii="仿宋_GB2312" w:hAnsi="楷体"/>
          <w:szCs w:val="32"/>
          <w:lang w:eastAsia="zh-CN"/>
        </w:rPr>
        <w:t>三、</w:t>
      </w:r>
      <w:r>
        <w:rPr>
          <w:rFonts w:hint="eastAsia" w:ascii="仿宋_GB2312" w:hAnsi="楷体"/>
          <w:szCs w:val="32"/>
        </w:rPr>
        <w:t>支出决算表</w:t>
      </w:r>
      <w:bookmarkEnd w:id="6"/>
    </w:p>
    <w:p>
      <w:pPr>
        <w:spacing w:line="240" w:lineRule="auto"/>
        <w:ind w:firstLine="0" w:firstLineChars="0"/>
        <w:rPr>
          <w:rFonts w:hint="eastAsia" w:ascii="仿宋_GB2312" w:hAnsi="楷体"/>
          <w:szCs w:val="32"/>
        </w:rPr>
      </w:pPr>
      <w:r>
        <w:rPr>
          <w:rFonts w:hint="eastAsia" w:ascii="仿宋_GB2312" w:hAnsi="楷体"/>
          <w:szCs w:val="32"/>
        </w:rPr>
        <w:drawing>
          <wp:inline distT="0" distB="0" distL="114300" distR="114300">
            <wp:extent cx="5480685" cy="3489325"/>
            <wp:effectExtent l="0" t="0" r="5715" b="15875"/>
            <wp:docPr id="3"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图片3"/>
                    <pic:cNvPicPr>
                      <a:picLocks noChangeAspect="1"/>
                    </pic:cNvPicPr>
                  </pic:nvPicPr>
                  <pic:blipFill>
                    <a:blip r:embed="rId11"/>
                    <a:stretch>
                      <a:fillRect/>
                    </a:stretch>
                  </pic:blipFill>
                  <pic:spPr>
                    <a:xfrm>
                      <a:off x="0" y="0"/>
                      <a:ext cx="5480685" cy="3489325"/>
                    </a:xfrm>
                    <a:prstGeom prst="rect">
                      <a:avLst/>
                    </a:prstGeom>
                    <a:noFill/>
                    <a:ln>
                      <a:noFill/>
                    </a:ln>
                  </pic:spPr>
                </pic:pic>
              </a:graphicData>
            </a:graphic>
          </wp:inline>
        </w:drawing>
      </w:r>
    </w:p>
    <w:p>
      <w:pPr>
        <w:spacing w:line="240" w:lineRule="auto"/>
        <w:ind w:firstLine="0" w:firstLineChars="0"/>
        <w:rPr>
          <w:rFonts w:hint="eastAsia" w:ascii="仿宋_GB2312" w:hAnsi="楷体"/>
          <w:szCs w:val="32"/>
        </w:rPr>
      </w:pPr>
    </w:p>
    <w:p>
      <w:pPr>
        <w:numPr>
          <w:ilvl w:val="0"/>
          <w:numId w:val="0"/>
        </w:numPr>
        <w:ind w:left="640" w:leftChars="0"/>
        <w:outlineLvl w:val="1"/>
        <w:rPr>
          <w:rFonts w:hint="eastAsia" w:ascii="仿宋_GB2312" w:hAnsi="楷体"/>
          <w:szCs w:val="32"/>
        </w:rPr>
      </w:pPr>
      <w:bookmarkStart w:id="7" w:name="_Toc18137"/>
      <w:r>
        <w:rPr>
          <w:rFonts w:hint="eastAsia" w:ascii="仿宋_GB2312" w:hAnsi="楷体"/>
          <w:szCs w:val="32"/>
          <w:lang w:eastAsia="zh-CN"/>
        </w:rPr>
        <w:t>四、</w:t>
      </w:r>
      <w:r>
        <w:rPr>
          <w:rFonts w:hint="eastAsia" w:ascii="仿宋_GB2312" w:hAnsi="楷体"/>
          <w:szCs w:val="32"/>
        </w:rPr>
        <w:t>财政拨款收入支出决算总表</w:t>
      </w:r>
      <w:bookmarkEnd w:id="7"/>
    </w:p>
    <w:p>
      <w:pPr>
        <w:spacing w:line="240" w:lineRule="auto"/>
        <w:ind w:firstLine="0" w:firstLineChars="0"/>
        <w:rPr>
          <w:rFonts w:hint="eastAsia" w:ascii="仿宋_GB2312" w:hAnsi="楷体"/>
          <w:szCs w:val="32"/>
        </w:rPr>
      </w:pPr>
      <w:r>
        <w:rPr>
          <w:rFonts w:hint="eastAsia" w:ascii="仿宋_GB2312" w:hAnsi="楷体"/>
          <w:szCs w:val="32"/>
        </w:rPr>
        <w:drawing>
          <wp:inline distT="0" distB="0" distL="114300" distR="114300">
            <wp:extent cx="5477510" cy="4063365"/>
            <wp:effectExtent l="0" t="0" r="8890" b="13335"/>
            <wp:docPr id="4"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图片4"/>
                    <pic:cNvPicPr>
                      <a:picLocks noChangeAspect="1"/>
                    </pic:cNvPicPr>
                  </pic:nvPicPr>
                  <pic:blipFill>
                    <a:blip r:embed="rId12"/>
                    <a:stretch>
                      <a:fillRect/>
                    </a:stretch>
                  </pic:blipFill>
                  <pic:spPr>
                    <a:xfrm>
                      <a:off x="0" y="0"/>
                      <a:ext cx="5477510" cy="4063365"/>
                    </a:xfrm>
                    <a:prstGeom prst="rect">
                      <a:avLst/>
                    </a:prstGeom>
                    <a:noFill/>
                    <a:ln>
                      <a:noFill/>
                    </a:ln>
                  </pic:spPr>
                </pic:pic>
              </a:graphicData>
            </a:graphic>
          </wp:inline>
        </w:drawing>
      </w: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numPr>
          <w:ilvl w:val="0"/>
          <w:numId w:val="0"/>
        </w:numPr>
        <w:ind w:left="640" w:leftChars="0"/>
        <w:outlineLvl w:val="1"/>
        <w:rPr>
          <w:rFonts w:hint="eastAsia" w:ascii="仿宋_GB2312" w:hAnsi="楷体"/>
          <w:szCs w:val="32"/>
        </w:rPr>
      </w:pPr>
      <w:bookmarkStart w:id="8" w:name="_Toc26268"/>
      <w:r>
        <w:rPr>
          <w:rFonts w:hint="eastAsia" w:ascii="仿宋_GB2312" w:hAnsi="楷体"/>
          <w:szCs w:val="32"/>
          <w:lang w:eastAsia="zh-CN"/>
        </w:rPr>
        <w:t>五、</w:t>
      </w:r>
      <w:r>
        <w:rPr>
          <w:rFonts w:hint="eastAsia" w:ascii="仿宋_GB2312" w:hAnsi="楷体"/>
          <w:szCs w:val="32"/>
        </w:rPr>
        <w:t>一般公共预算财政拨款支出决算表（一）</w:t>
      </w:r>
      <w:bookmarkEnd w:id="8"/>
    </w:p>
    <w:p>
      <w:pPr>
        <w:spacing w:line="240" w:lineRule="auto"/>
        <w:ind w:firstLine="0" w:firstLineChars="0"/>
        <w:rPr>
          <w:rFonts w:hint="eastAsia" w:ascii="仿宋_GB2312" w:hAnsi="楷体"/>
          <w:szCs w:val="32"/>
        </w:rPr>
      </w:pPr>
      <w:r>
        <w:rPr>
          <w:rFonts w:hint="eastAsia" w:ascii="仿宋_GB2312" w:hAnsi="楷体"/>
          <w:szCs w:val="32"/>
        </w:rPr>
        <w:drawing>
          <wp:inline distT="0" distB="0" distL="114300" distR="114300">
            <wp:extent cx="5483225" cy="4077335"/>
            <wp:effectExtent l="0" t="0" r="3175" b="18415"/>
            <wp:docPr id="5"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图片5"/>
                    <pic:cNvPicPr>
                      <a:picLocks noChangeAspect="1"/>
                    </pic:cNvPicPr>
                  </pic:nvPicPr>
                  <pic:blipFill>
                    <a:blip r:embed="rId13"/>
                    <a:stretch>
                      <a:fillRect/>
                    </a:stretch>
                  </pic:blipFill>
                  <pic:spPr>
                    <a:xfrm>
                      <a:off x="0" y="0"/>
                      <a:ext cx="5483225" cy="4077335"/>
                    </a:xfrm>
                    <a:prstGeom prst="rect">
                      <a:avLst/>
                    </a:prstGeom>
                    <a:noFill/>
                    <a:ln>
                      <a:noFill/>
                    </a:ln>
                  </pic:spPr>
                </pic:pic>
              </a:graphicData>
            </a:graphic>
          </wp:inline>
        </w:drawing>
      </w: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numPr>
          <w:ilvl w:val="0"/>
          <w:numId w:val="0"/>
        </w:numPr>
        <w:ind w:left="640" w:leftChars="0"/>
        <w:outlineLvl w:val="1"/>
        <w:rPr>
          <w:rFonts w:hint="eastAsia" w:ascii="仿宋_GB2312" w:hAnsi="楷体"/>
          <w:szCs w:val="32"/>
        </w:rPr>
      </w:pPr>
      <w:bookmarkStart w:id="9" w:name="_Toc4142"/>
      <w:r>
        <w:rPr>
          <w:rFonts w:hint="eastAsia" w:ascii="仿宋_GB2312" w:hAnsi="楷体"/>
          <w:szCs w:val="32"/>
          <w:lang w:eastAsia="zh-CN"/>
        </w:rPr>
        <w:t>六、</w:t>
      </w:r>
      <w:r>
        <w:rPr>
          <w:rFonts w:hint="eastAsia" w:ascii="仿宋_GB2312" w:hAnsi="楷体"/>
          <w:szCs w:val="32"/>
        </w:rPr>
        <w:t>一般公共预算财政拨款支出决算表（二）</w:t>
      </w:r>
      <w:bookmarkEnd w:id="9"/>
    </w:p>
    <w:p>
      <w:pPr>
        <w:spacing w:line="240" w:lineRule="auto"/>
        <w:ind w:firstLine="0" w:firstLineChars="0"/>
        <w:rPr>
          <w:rFonts w:hint="eastAsia" w:ascii="仿宋_GB2312" w:hAnsi="楷体"/>
          <w:szCs w:val="32"/>
        </w:rPr>
      </w:pPr>
      <w:r>
        <w:rPr>
          <w:rFonts w:hint="eastAsia" w:ascii="仿宋_GB2312" w:hAnsi="楷体"/>
          <w:szCs w:val="32"/>
        </w:rPr>
        <w:drawing>
          <wp:inline distT="0" distB="0" distL="114300" distR="114300">
            <wp:extent cx="5484495" cy="1815465"/>
            <wp:effectExtent l="0" t="0" r="1905" b="13335"/>
            <wp:docPr id="6"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图片6"/>
                    <pic:cNvPicPr>
                      <a:picLocks noChangeAspect="1"/>
                    </pic:cNvPicPr>
                  </pic:nvPicPr>
                  <pic:blipFill>
                    <a:blip r:embed="rId14"/>
                    <a:stretch>
                      <a:fillRect/>
                    </a:stretch>
                  </pic:blipFill>
                  <pic:spPr>
                    <a:xfrm>
                      <a:off x="0" y="0"/>
                      <a:ext cx="5484495" cy="1815465"/>
                    </a:xfrm>
                    <a:prstGeom prst="rect">
                      <a:avLst/>
                    </a:prstGeom>
                    <a:noFill/>
                    <a:ln>
                      <a:noFill/>
                    </a:ln>
                  </pic:spPr>
                </pic:pic>
              </a:graphicData>
            </a:graphic>
          </wp:inline>
        </w:drawing>
      </w: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spacing w:line="240" w:lineRule="auto"/>
        <w:ind w:firstLine="0" w:firstLineChars="0"/>
        <w:rPr>
          <w:rFonts w:hint="eastAsia" w:ascii="仿宋_GB2312" w:hAnsi="楷体"/>
          <w:szCs w:val="32"/>
        </w:rPr>
      </w:pPr>
    </w:p>
    <w:p>
      <w:pPr>
        <w:numPr>
          <w:ilvl w:val="0"/>
          <w:numId w:val="0"/>
        </w:numPr>
        <w:ind w:left="640" w:leftChars="0"/>
        <w:outlineLvl w:val="1"/>
        <w:rPr>
          <w:rFonts w:hint="eastAsia" w:ascii="仿宋_GB2312" w:hAnsi="楷体"/>
          <w:szCs w:val="32"/>
        </w:rPr>
      </w:pPr>
      <w:bookmarkStart w:id="10" w:name="_Toc18779"/>
      <w:r>
        <w:rPr>
          <w:rFonts w:hint="eastAsia" w:ascii="仿宋_GB2312" w:hAnsi="楷体"/>
          <w:szCs w:val="32"/>
          <w:lang w:eastAsia="zh-CN"/>
        </w:rPr>
        <w:t>七、</w:t>
      </w:r>
      <w:r>
        <w:rPr>
          <w:rFonts w:hint="eastAsia" w:ascii="仿宋_GB2312" w:hAnsi="楷体"/>
          <w:szCs w:val="32"/>
        </w:rPr>
        <w:t>一般公共预算财政拨款“三公”经费支出决算表</w:t>
      </w:r>
      <w:bookmarkEnd w:id="10"/>
    </w:p>
    <w:p>
      <w:pPr>
        <w:spacing w:line="240" w:lineRule="auto"/>
        <w:ind w:firstLine="0" w:firstLineChars="0"/>
        <w:rPr>
          <w:rFonts w:hint="eastAsia" w:ascii="仿宋_GB2312" w:hAnsi="楷体"/>
          <w:szCs w:val="32"/>
        </w:rPr>
      </w:pPr>
      <w:r>
        <w:rPr>
          <w:rFonts w:hint="eastAsia" w:ascii="仿宋_GB2312" w:hAnsi="楷体"/>
          <w:szCs w:val="32"/>
        </w:rPr>
        <w:drawing>
          <wp:inline distT="0" distB="0" distL="114300" distR="114300">
            <wp:extent cx="5478780" cy="1134745"/>
            <wp:effectExtent l="0" t="0" r="7620" b="8255"/>
            <wp:docPr id="7"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片7"/>
                    <pic:cNvPicPr>
                      <a:picLocks noChangeAspect="1"/>
                    </pic:cNvPicPr>
                  </pic:nvPicPr>
                  <pic:blipFill>
                    <a:blip r:embed="rId15"/>
                    <a:stretch>
                      <a:fillRect/>
                    </a:stretch>
                  </pic:blipFill>
                  <pic:spPr>
                    <a:xfrm>
                      <a:off x="0" y="0"/>
                      <a:ext cx="5478780" cy="1134745"/>
                    </a:xfrm>
                    <a:prstGeom prst="rect">
                      <a:avLst/>
                    </a:prstGeom>
                    <a:noFill/>
                    <a:ln>
                      <a:noFill/>
                    </a:ln>
                  </pic:spPr>
                </pic:pic>
              </a:graphicData>
            </a:graphic>
          </wp:inline>
        </w:drawing>
      </w:r>
    </w:p>
    <w:p>
      <w:pPr>
        <w:ind w:firstLine="640"/>
        <w:rPr>
          <w:rFonts w:hint="eastAsia" w:ascii="仿宋_GB2312" w:hAnsi="楷体"/>
          <w:szCs w:val="32"/>
        </w:rPr>
      </w:pPr>
      <w:r>
        <w:rPr>
          <w:rFonts w:hint="eastAsia" w:ascii="黑体" w:hAnsi="黑体" w:eastAsia="黑体"/>
          <w:szCs w:val="32"/>
        </w:rPr>
        <w:t>说明：中央农业广播学校襄汾县分校无三公经费，故本表无数据。</w:t>
      </w:r>
    </w:p>
    <w:p>
      <w:pPr>
        <w:numPr>
          <w:ilvl w:val="0"/>
          <w:numId w:val="0"/>
        </w:numPr>
        <w:ind w:left="640" w:leftChars="0"/>
        <w:outlineLvl w:val="1"/>
        <w:rPr>
          <w:rFonts w:hint="eastAsia" w:ascii="仿宋_GB2312" w:hAnsi="楷体"/>
          <w:szCs w:val="32"/>
        </w:rPr>
      </w:pPr>
      <w:bookmarkStart w:id="11" w:name="_Toc19161"/>
      <w:r>
        <w:rPr>
          <w:rFonts w:hint="eastAsia" w:ascii="仿宋_GB2312" w:hAnsi="楷体"/>
          <w:szCs w:val="32"/>
          <w:lang w:eastAsia="zh-CN"/>
        </w:rPr>
        <w:t>八、</w:t>
      </w:r>
      <w:r>
        <w:rPr>
          <w:rFonts w:hint="eastAsia" w:ascii="仿宋_GB2312" w:hAnsi="楷体"/>
          <w:szCs w:val="32"/>
        </w:rPr>
        <w:t>政府性基金预算财政拨款收入支出决算表</w:t>
      </w:r>
      <w:bookmarkEnd w:id="11"/>
    </w:p>
    <w:p>
      <w:pPr>
        <w:spacing w:line="240" w:lineRule="auto"/>
        <w:ind w:firstLine="0" w:firstLineChars="0"/>
        <w:jc w:val="center"/>
        <w:rPr>
          <w:rFonts w:hint="eastAsia" w:ascii="仿宋_GB2312" w:hAnsi="楷体"/>
          <w:szCs w:val="32"/>
        </w:rPr>
      </w:pPr>
      <w:r>
        <w:rPr>
          <w:rFonts w:hint="eastAsia" w:ascii="仿宋_GB2312" w:hAnsi="楷体"/>
          <w:szCs w:val="32"/>
        </w:rPr>
        <w:drawing>
          <wp:inline distT="0" distB="0" distL="114300" distR="114300">
            <wp:extent cx="5478145" cy="1760220"/>
            <wp:effectExtent l="0" t="0" r="8255" b="11430"/>
            <wp:docPr id="8" name="图片 1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片8"/>
                    <pic:cNvPicPr>
                      <a:picLocks noChangeAspect="1"/>
                    </pic:cNvPicPr>
                  </pic:nvPicPr>
                  <pic:blipFill>
                    <a:blip r:embed="rId16"/>
                    <a:stretch>
                      <a:fillRect/>
                    </a:stretch>
                  </pic:blipFill>
                  <pic:spPr>
                    <a:xfrm>
                      <a:off x="0" y="0"/>
                      <a:ext cx="5478145" cy="1760220"/>
                    </a:xfrm>
                    <a:prstGeom prst="rect">
                      <a:avLst/>
                    </a:prstGeom>
                    <a:noFill/>
                    <a:ln>
                      <a:noFill/>
                    </a:ln>
                  </pic:spPr>
                </pic:pic>
              </a:graphicData>
            </a:graphic>
          </wp:inline>
        </w:drawing>
      </w:r>
    </w:p>
    <w:p>
      <w:pPr>
        <w:ind w:firstLine="640"/>
        <w:rPr>
          <w:rFonts w:hint="eastAsia" w:ascii="黑体" w:hAnsi="黑体" w:eastAsia="黑体"/>
          <w:szCs w:val="32"/>
        </w:rPr>
      </w:pPr>
      <w:r>
        <w:rPr>
          <w:rFonts w:hint="eastAsia" w:ascii="黑体" w:hAnsi="黑体" w:eastAsia="黑体"/>
          <w:szCs w:val="32"/>
        </w:rPr>
        <w:t>说明：中央农业广播学校襄汾县分校无政府性基金预算财政拨款收入，故本表无数据。</w:t>
      </w:r>
    </w:p>
    <w:p>
      <w:pPr>
        <w:ind w:firstLine="640"/>
        <w:rPr>
          <w:rFonts w:hint="eastAsia" w:ascii="黑体" w:hAnsi="黑体" w:eastAsia="黑体"/>
          <w:szCs w:val="32"/>
        </w:rPr>
      </w:pPr>
    </w:p>
    <w:p>
      <w:pPr>
        <w:ind w:firstLine="640"/>
        <w:rPr>
          <w:rFonts w:hint="eastAsia" w:ascii="黑体" w:hAnsi="黑体" w:eastAsia="黑体"/>
          <w:szCs w:val="32"/>
        </w:rPr>
      </w:pPr>
    </w:p>
    <w:p>
      <w:pPr>
        <w:ind w:firstLine="640"/>
        <w:rPr>
          <w:rFonts w:hint="eastAsia" w:ascii="黑体" w:hAnsi="黑体" w:eastAsia="黑体"/>
          <w:szCs w:val="32"/>
        </w:rPr>
      </w:pPr>
    </w:p>
    <w:p>
      <w:pPr>
        <w:ind w:firstLine="640"/>
        <w:rPr>
          <w:rFonts w:hint="eastAsia" w:ascii="黑体" w:hAnsi="黑体" w:eastAsia="黑体"/>
          <w:szCs w:val="32"/>
        </w:rPr>
      </w:pPr>
    </w:p>
    <w:p>
      <w:pPr>
        <w:ind w:firstLine="640"/>
        <w:rPr>
          <w:rFonts w:hint="eastAsia" w:ascii="黑体" w:hAnsi="黑体" w:eastAsia="黑体"/>
          <w:szCs w:val="32"/>
        </w:rPr>
      </w:pPr>
    </w:p>
    <w:p>
      <w:pPr>
        <w:ind w:firstLine="640"/>
        <w:rPr>
          <w:rFonts w:hint="eastAsia" w:ascii="黑体" w:hAnsi="黑体" w:eastAsia="黑体"/>
          <w:szCs w:val="32"/>
        </w:rPr>
      </w:pPr>
    </w:p>
    <w:p>
      <w:pPr>
        <w:numPr>
          <w:ilvl w:val="0"/>
          <w:numId w:val="0"/>
        </w:numPr>
        <w:ind w:left="640" w:leftChars="0"/>
        <w:outlineLvl w:val="1"/>
        <w:rPr>
          <w:rFonts w:hint="eastAsia" w:ascii="仿宋_GB2312" w:hAnsi="楷体"/>
          <w:szCs w:val="32"/>
        </w:rPr>
      </w:pPr>
      <w:bookmarkStart w:id="12" w:name="_Toc4929"/>
      <w:r>
        <w:rPr>
          <w:rFonts w:hint="eastAsia" w:ascii="仿宋_GB2312" w:hAnsi="楷体"/>
          <w:szCs w:val="32"/>
          <w:lang w:eastAsia="zh-CN"/>
        </w:rPr>
        <w:t>九、</w:t>
      </w:r>
      <w:r>
        <w:rPr>
          <w:rFonts w:hint="eastAsia" w:ascii="仿宋_GB2312" w:hAnsi="楷体"/>
          <w:szCs w:val="32"/>
        </w:rPr>
        <w:t>国有资本经营预算财政拨款支出决算表</w:t>
      </w:r>
      <w:bookmarkEnd w:id="12"/>
    </w:p>
    <w:p>
      <w:pPr>
        <w:spacing w:line="240" w:lineRule="auto"/>
        <w:ind w:firstLine="0" w:firstLineChars="0"/>
        <w:jc w:val="center"/>
        <w:rPr>
          <w:rFonts w:hint="eastAsia" w:ascii="仿宋_GB2312" w:hAnsi="楷体"/>
          <w:szCs w:val="32"/>
        </w:rPr>
      </w:pPr>
      <w:r>
        <w:rPr>
          <w:rFonts w:hint="eastAsia" w:ascii="仿宋_GB2312" w:hAnsi="楷体"/>
          <w:szCs w:val="32"/>
        </w:rPr>
        <w:drawing>
          <wp:inline distT="0" distB="0" distL="114300" distR="114300">
            <wp:extent cx="5480685" cy="1959610"/>
            <wp:effectExtent l="0" t="0" r="5715" b="2540"/>
            <wp:docPr id="9" name="图片 1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图片9"/>
                    <pic:cNvPicPr>
                      <a:picLocks noChangeAspect="1"/>
                    </pic:cNvPicPr>
                  </pic:nvPicPr>
                  <pic:blipFill>
                    <a:blip r:embed="rId17"/>
                    <a:stretch>
                      <a:fillRect/>
                    </a:stretch>
                  </pic:blipFill>
                  <pic:spPr>
                    <a:xfrm>
                      <a:off x="0" y="0"/>
                      <a:ext cx="5480685" cy="1959610"/>
                    </a:xfrm>
                    <a:prstGeom prst="rect">
                      <a:avLst/>
                    </a:prstGeom>
                    <a:noFill/>
                    <a:ln>
                      <a:noFill/>
                    </a:ln>
                  </pic:spPr>
                </pic:pic>
              </a:graphicData>
            </a:graphic>
          </wp:inline>
        </w:drawing>
      </w:r>
    </w:p>
    <w:p>
      <w:pPr>
        <w:ind w:firstLine="640"/>
        <w:rPr>
          <w:rFonts w:hint="eastAsia" w:ascii="黑体" w:hAnsi="黑体" w:eastAsia="黑体"/>
          <w:szCs w:val="32"/>
        </w:rPr>
      </w:pPr>
      <w:r>
        <w:rPr>
          <w:rFonts w:hint="eastAsia" w:ascii="黑体" w:hAnsi="黑体" w:eastAsia="黑体"/>
          <w:szCs w:val="32"/>
        </w:rPr>
        <w:t>说明：中央农业广播学校襄汾县分校无国有资产占用情况，故本表无数据。</w:t>
      </w:r>
    </w:p>
    <w:p>
      <w:pPr>
        <w:numPr>
          <w:ilvl w:val="0"/>
          <w:numId w:val="0"/>
        </w:numPr>
        <w:ind w:left="640" w:leftChars="0"/>
        <w:outlineLvl w:val="1"/>
        <w:rPr>
          <w:rFonts w:hint="eastAsia" w:ascii="仿宋_GB2312" w:hAnsi="楷体"/>
          <w:szCs w:val="32"/>
        </w:rPr>
      </w:pPr>
      <w:bookmarkStart w:id="13" w:name="_Toc6031"/>
      <w:r>
        <w:rPr>
          <w:rFonts w:hint="eastAsia" w:ascii="仿宋_GB2312" w:hAnsi="楷体"/>
          <w:szCs w:val="32"/>
          <w:lang w:eastAsia="zh-CN"/>
        </w:rPr>
        <w:t>十、</w:t>
      </w:r>
      <w:r>
        <w:rPr>
          <w:rFonts w:hint="eastAsia" w:ascii="仿宋_GB2312" w:hAnsi="楷体"/>
          <w:szCs w:val="32"/>
        </w:rPr>
        <w:t>部门决算公开相关信息统计表</w:t>
      </w:r>
      <w:bookmarkEnd w:id="13"/>
    </w:p>
    <w:p>
      <w:pPr>
        <w:spacing w:line="240" w:lineRule="auto"/>
        <w:ind w:firstLine="0" w:firstLineChars="0"/>
        <w:jc w:val="center"/>
        <w:rPr>
          <w:rFonts w:hint="eastAsia" w:ascii="仿宋_GB2312" w:hAnsi="楷体"/>
          <w:szCs w:val="32"/>
        </w:rPr>
      </w:pPr>
      <w:r>
        <w:rPr>
          <w:rFonts w:hint="eastAsia" w:ascii="仿宋_GB2312" w:hAnsi="楷体"/>
          <w:szCs w:val="32"/>
        </w:rPr>
        <w:drawing>
          <wp:inline distT="0" distB="0" distL="114300" distR="114300">
            <wp:extent cx="4886325" cy="3460750"/>
            <wp:effectExtent l="0" t="0" r="9525" b="6350"/>
            <wp:docPr id="10" name="图片 12"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图片10"/>
                    <pic:cNvPicPr>
                      <a:picLocks noChangeAspect="1"/>
                    </pic:cNvPicPr>
                  </pic:nvPicPr>
                  <pic:blipFill>
                    <a:blip r:embed="rId18"/>
                    <a:stretch>
                      <a:fillRect/>
                    </a:stretch>
                  </pic:blipFill>
                  <pic:spPr>
                    <a:xfrm>
                      <a:off x="0" y="0"/>
                      <a:ext cx="4886325" cy="3460750"/>
                    </a:xfrm>
                    <a:prstGeom prst="rect">
                      <a:avLst/>
                    </a:prstGeom>
                    <a:noFill/>
                    <a:ln>
                      <a:noFill/>
                    </a:ln>
                  </pic:spPr>
                </pic:pic>
              </a:graphicData>
            </a:graphic>
          </wp:inline>
        </w:drawing>
      </w:r>
    </w:p>
    <w:p>
      <w:pPr>
        <w:ind w:firstLine="640"/>
        <w:rPr>
          <w:rFonts w:hint="eastAsia" w:ascii="黑体" w:hAnsi="黑体" w:eastAsia="黑体"/>
          <w:szCs w:val="32"/>
        </w:rPr>
      </w:pPr>
      <w:r>
        <w:rPr>
          <w:rFonts w:hint="eastAsia" w:ascii="黑体" w:hAnsi="黑体" w:eastAsia="黑体"/>
          <w:szCs w:val="32"/>
        </w:rPr>
        <w:t>说明：中央农业广播学校襄汾县分校无政府采购情况、无机关运行经费、无国有资产占用情况，故本表无数据。</w:t>
      </w:r>
    </w:p>
    <w:p>
      <w:pPr>
        <w:ind w:firstLine="640"/>
        <w:outlineLvl w:val="0"/>
        <w:rPr>
          <w:rFonts w:ascii="黑体" w:hAnsi="黑体" w:eastAsia="黑体"/>
          <w:szCs w:val="32"/>
        </w:rPr>
      </w:pPr>
      <w:bookmarkStart w:id="14" w:name="_Toc25987"/>
      <w:r>
        <w:rPr>
          <w:rFonts w:hint="eastAsia" w:ascii="黑体" w:hAnsi="黑体" w:eastAsia="黑体"/>
          <w:szCs w:val="32"/>
        </w:rPr>
        <w:t>第三部分  2021年度部门决算情况说明（可根据实际情况附图说明）</w:t>
      </w:r>
      <w:bookmarkEnd w:id="14"/>
    </w:p>
    <w:p>
      <w:pPr>
        <w:ind w:firstLine="643"/>
        <w:outlineLvl w:val="1"/>
        <w:rPr>
          <w:rFonts w:hint="eastAsia" w:ascii="仿宋_GB2312"/>
          <w:b/>
          <w:szCs w:val="32"/>
        </w:rPr>
      </w:pPr>
      <w:bookmarkStart w:id="15" w:name="_Toc20670"/>
      <w:r>
        <w:rPr>
          <w:rFonts w:hint="eastAsia" w:ascii="仿宋_GB2312"/>
          <w:b/>
          <w:szCs w:val="32"/>
        </w:rPr>
        <w:t>一、收入支出决算总体情况说明</w:t>
      </w:r>
      <w:bookmarkEnd w:id="15"/>
    </w:p>
    <w:p>
      <w:pPr>
        <w:ind w:firstLine="640"/>
        <w:rPr>
          <w:rFonts w:hint="eastAsia" w:ascii="仿宋" w:hAnsi="仿宋" w:eastAsia="仿宋"/>
          <w:kern w:val="0"/>
          <w:szCs w:val="32"/>
        </w:rPr>
      </w:pPr>
      <w:r>
        <w:rPr>
          <w:rFonts w:hint="eastAsia" w:ascii="仿宋_GB2312"/>
          <w:szCs w:val="32"/>
        </w:rPr>
        <w:t>2021年度收入</w:t>
      </w:r>
      <w:r>
        <w:rPr>
          <w:rFonts w:ascii="仿宋_GB2312"/>
          <w:szCs w:val="32"/>
        </w:rPr>
        <w:t>总计</w:t>
      </w:r>
      <w:r>
        <w:rPr>
          <w:rFonts w:ascii="仿宋_GB2312" w:hAnsi="仿宋"/>
          <w:szCs w:val="32"/>
        </w:rPr>
        <w:t>144</w:t>
      </w:r>
      <w:r>
        <w:rPr>
          <w:rFonts w:hint="eastAsia" w:ascii="仿宋_GB2312" w:hAnsi="仿宋"/>
          <w:szCs w:val="32"/>
        </w:rPr>
        <w:t>.</w:t>
      </w:r>
      <w:r>
        <w:rPr>
          <w:rFonts w:ascii="仿宋_GB2312" w:hAnsi="仿宋"/>
          <w:szCs w:val="32"/>
        </w:rPr>
        <w:t>2</w:t>
      </w:r>
      <w:r>
        <w:rPr>
          <w:rFonts w:hint="eastAsia" w:ascii="仿宋_GB2312" w:hAnsi="仿宋"/>
          <w:szCs w:val="32"/>
        </w:rPr>
        <w:t>3元，</w:t>
      </w:r>
      <w:r>
        <w:rPr>
          <w:rFonts w:hint="eastAsia" w:ascii="仿宋_GB2312"/>
          <w:szCs w:val="32"/>
        </w:rPr>
        <w:t>支出总计</w:t>
      </w:r>
      <w:r>
        <w:rPr>
          <w:rFonts w:hint="eastAsia" w:ascii="仿宋_GB2312" w:hAnsi="仿宋"/>
          <w:szCs w:val="32"/>
        </w:rPr>
        <w:t>144.53</w:t>
      </w:r>
      <w:r>
        <w:rPr>
          <w:rFonts w:hint="eastAsia" w:ascii="仿宋_GB2312"/>
          <w:szCs w:val="32"/>
        </w:rPr>
        <w:t>万元。与2020年相比，收入总计减少</w:t>
      </w:r>
      <w:r>
        <w:rPr>
          <w:rFonts w:hint="eastAsia" w:ascii="仿宋_GB2312" w:hAnsi="仿宋"/>
          <w:szCs w:val="32"/>
        </w:rPr>
        <w:t>6.7</w:t>
      </w:r>
      <w:r>
        <w:rPr>
          <w:rFonts w:hint="eastAsia" w:ascii="仿宋_GB2312"/>
          <w:szCs w:val="32"/>
        </w:rPr>
        <w:t>万元，下降4.64%，</w:t>
      </w:r>
      <w:r>
        <w:rPr>
          <w:rFonts w:ascii="仿宋_GB2312"/>
          <w:szCs w:val="32"/>
        </w:rPr>
        <w:t>支出总计减少</w:t>
      </w:r>
      <w:r>
        <w:rPr>
          <w:rFonts w:hint="eastAsia" w:ascii="仿宋_GB2312" w:hAnsi="仿宋"/>
          <w:szCs w:val="32"/>
        </w:rPr>
        <w:t>6.4</w:t>
      </w:r>
      <w:r>
        <w:rPr>
          <w:rFonts w:hint="eastAsia" w:ascii="仿宋_GB2312"/>
          <w:szCs w:val="32"/>
        </w:rPr>
        <w:t>万元</w:t>
      </w:r>
      <w:r>
        <w:rPr>
          <w:rFonts w:ascii="仿宋_GB2312"/>
          <w:szCs w:val="32"/>
        </w:rPr>
        <w:t>，下降</w:t>
      </w:r>
      <w:r>
        <w:rPr>
          <w:rFonts w:hint="eastAsia" w:ascii="仿宋_GB2312"/>
          <w:szCs w:val="32"/>
        </w:rPr>
        <w:t>4.43</w:t>
      </w:r>
      <w:r>
        <w:rPr>
          <w:rFonts w:ascii="仿宋_GB2312"/>
          <w:szCs w:val="32"/>
        </w:rPr>
        <w:t>%</w:t>
      </w:r>
      <w:r>
        <w:rPr>
          <w:rFonts w:hint="eastAsia" w:ascii="仿宋_GB2312"/>
          <w:szCs w:val="32"/>
        </w:rPr>
        <w:t>。主要原因是</w:t>
      </w:r>
      <w:r>
        <w:rPr>
          <w:rFonts w:hint="eastAsia" w:ascii="仿宋" w:hAnsi="仿宋" w:eastAsia="仿宋"/>
          <w:kern w:val="0"/>
          <w:szCs w:val="32"/>
        </w:rPr>
        <w:t>2020年退休人员李三凤丧葬费、抚恤金在项目支出。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kern w:val="0"/>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kern w:val="0"/>
          <w:szCs w:val="32"/>
        </w:rPr>
      </w:pPr>
      <w:r>
        <w:rPr>
          <w:rFonts w:hint="eastAsia" w:ascii="仿宋" w:hAnsi="仿宋" w:eastAsia="仿宋"/>
          <w:kern w:val="0"/>
          <w:szCs w:val="32"/>
        </w:rPr>
        <w:drawing>
          <wp:inline distT="0" distB="0" distL="114300" distR="114300">
            <wp:extent cx="5080000" cy="3393440"/>
            <wp:effectExtent l="4445" t="4445" r="20955" b="1206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line="580" w:lineRule="exact"/>
        <w:ind w:firstLine="643"/>
        <w:outlineLvl w:val="1"/>
        <w:rPr>
          <w:rFonts w:hint="eastAsia" w:ascii="仿宋_GB2312"/>
          <w:b/>
          <w:szCs w:val="32"/>
        </w:rPr>
      </w:pPr>
      <w:bookmarkStart w:id="16" w:name="_Toc7864"/>
      <w:r>
        <w:rPr>
          <w:rFonts w:hint="eastAsia" w:ascii="仿宋_GB2312"/>
          <w:b/>
          <w:szCs w:val="32"/>
        </w:rPr>
        <w:t>二、收入决算情况说明</w:t>
      </w:r>
      <w:bookmarkEnd w:id="16"/>
    </w:p>
    <w:p>
      <w:pPr>
        <w:spacing w:line="580" w:lineRule="exact"/>
        <w:ind w:firstLine="640"/>
        <w:rPr>
          <w:rFonts w:hint="eastAsia" w:ascii="仿宋_GB2312"/>
          <w:szCs w:val="32"/>
        </w:rPr>
      </w:pPr>
      <w:r>
        <w:rPr>
          <w:rFonts w:hint="eastAsia" w:ascii="仿宋_GB2312"/>
          <w:szCs w:val="32"/>
        </w:rPr>
        <w:t>2021年度收入合计</w:t>
      </w:r>
      <w:r>
        <w:rPr>
          <w:rFonts w:ascii="仿宋_GB2312" w:hAnsi="仿宋"/>
          <w:szCs w:val="32"/>
        </w:rPr>
        <w:t>144</w:t>
      </w:r>
      <w:r>
        <w:rPr>
          <w:rFonts w:hint="eastAsia" w:ascii="仿宋_GB2312" w:hAnsi="仿宋"/>
          <w:szCs w:val="32"/>
        </w:rPr>
        <w:t>.</w:t>
      </w:r>
      <w:r>
        <w:rPr>
          <w:rFonts w:ascii="仿宋_GB2312" w:hAnsi="仿宋"/>
          <w:szCs w:val="32"/>
        </w:rPr>
        <w:t>2</w:t>
      </w:r>
      <w:r>
        <w:rPr>
          <w:rFonts w:hint="eastAsia" w:ascii="仿宋_GB2312" w:hAnsi="仿宋"/>
          <w:szCs w:val="32"/>
        </w:rPr>
        <w:t>3</w:t>
      </w:r>
      <w:r>
        <w:rPr>
          <w:rFonts w:hint="eastAsia" w:ascii="仿宋_GB2312"/>
          <w:szCs w:val="32"/>
        </w:rPr>
        <w:t>万元，其中：财政拨款收入</w:t>
      </w:r>
      <w:r>
        <w:rPr>
          <w:rFonts w:ascii="仿宋_GB2312" w:hAnsi="仿宋"/>
          <w:szCs w:val="32"/>
        </w:rPr>
        <w:t>144</w:t>
      </w:r>
      <w:r>
        <w:rPr>
          <w:rFonts w:hint="eastAsia" w:ascii="仿宋_GB2312" w:hAnsi="仿宋"/>
          <w:szCs w:val="32"/>
        </w:rPr>
        <w:t>.</w:t>
      </w:r>
      <w:r>
        <w:rPr>
          <w:rFonts w:ascii="仿宋_GB2312" w:hAnsi="仿宋"/>
          <w:szCs w:val="32"/>
        </w:rPr>
        <w:t>2</w:t>
      </w:r>
      <w:r>
        <w:rPr>
          <w:rFonts w:hint="eastAsia" w:ascii="仿宋_GB2312" w:hAnsi="仿宋"/>
          <w:szCs w:val="32"/>
        </w:rPr>
        <w:t>3</w:t>
      </w:r>
      <w:r>
        <w:rPr>
          <w:rFonts w:hint="eastAsia" w:ascii="仿宋_GB2312"/>
          <w:szCs w:val="32"/>
        </w:rPr>
        <w:t>万元，占比100%。</w:t>
      </w:r>
    </w:p>
    <w:p>
      <w:pPr>
        <w:spacing w:line="240" w:lineRule="auto"/>
        <w:ind w:firstLine="0" w:firstLineChars="0"/>
        <w:jc w:val="center"/>
        <w:rPr>
          <w:rFonts w:hint="eastAsia" w:ascii="仿宋_GB2312" w:eastAsia="仿宋_GB2312"/>
          <w:szCs w:val="32"/>
          <w:lang w:eastAsia="zh-CN"/>
        </w:rPr>
      </w:pPr>
      <w:r>
        <w:rPr>
          <w:rFonts w:hint="eastAsia" w:ascii="仿宋_GB2312" w:eastAsia="仿宋_GB2312"/>
          <w:szCs w:val="32"/>
          <w:lang w:eastAsia="zh-CN"/>
        </w:rPr>
        <w:drawing>
          <wp:inline distT="0" distB="0" distL="114300" distR="114300">
            <wp:extent cx="5365115" cy="2275840"/>
            <wp:effectExtent l="4445" t="4445" r="21590" b="571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line="240" w:lineRule="auto"/>
        <w:ind w:firstLine="0" w:firstLineChars="0"/>
        <w:rPr>
          <w:rFonts w:hint="eastAsia" w:ascii="仿宋_GB2312" w:eastAsia="仿宋_GB2312"/>
          <w:szCs w:val="32"/>
          <w:lang w:eastAsia="zh-CN"/>
        </w:rPr>
      </w:pPr>
    </w:p>
    <w:p>
      <w:pPr>
        <w:spacing w:line="580" w:lineRule="exact"/>
        <w:ind w:firstLine="643"/>
        <w:outlineLvl w:val="1"/>
        <w:rPr>
          <w:rFonts w:hint="eastAsia" w:ascii="仿宋_GB2312"/>
          <w:b/>
          <w:szCs w:val="32"/>
        </w:rPr>
      </w:pPr>
      <w:bookmarkStart w:id="17" w:name="_Toc6393"/>
      <w:r>
        <w:rPr>
          <w:rFonts w:hint="eastAsia" w:ascii="仿宋_GB2312"/>
          <w:b/>
          <w:szCs w:val="32"/>
        </w:rPr>
        <w:t>三、支出决算情况说明</w:t>
      </w:r>
      <w:bookmarkEnd w:id="17"/>
    </w:p>
    <w:p>
      <w:pPr>
        <w:ind w:firstLine="640"/>
        <w:rPr>
          <w:rFonts w:hint="eastAsia" w:ascii="仿宋_GB2312"/>
          <w:szCs w:val="32"/>
        </w:rPr>
      </w:pPr>
      <w:r>
        <w:rPr>
          <w:rFonts w:hint="eastAsia" w:ascii="仿宋_GB2312"/>
          <w:szCs w:val="32"/>
        </w:rPr>
        <w:t>2021年度支出合计</w:t>
      </w:r>
      <w:r>
        <w:rPr>
          <w:rFonts w:hint="eastAsia" w:ascii="仿宋_GB2312" w:hAnsi="仿宋"/>
          <w:szCs w:val="32"/>
        </w:rPr>
        <w:t>144.53</w:t>
      </w:r>
      <w:r>
        <w:rPr>
          <w:rFonts w:hint="eastAsia" w:ascii="仿宋_GB2312"/>
          <w:szCs w:val="32"/>
        </w:rPr>
        <w:t>万元，其中：基本支出</w:t>
      </w:r>
      <w:r>
        <w:rPr>
          <w:rFonts w:hint="eastAsia" w:ascii="仿宋_GB2312" w:hAnsi="仿宋"/>
          <w:szCs w:val="32"/>
        </w:rPr>
        <w:t>133.19</w:t>
      </w:r>
      <w:r>
        <w:rPr>
          <w:rFonts w:hint="eastAsia" w:ascii="仿宋_GB2312"/>
          <w:szCs w:val="32"/>
        </w:rPr>
        <w:t>万元，占比92.15%；项目支出</w:t>
      </w:r>
      <w:r>
        <w:rPr>
          <w:rFonts w:hint="eastAsia" w:ascii="仿宋_GB2312" w:hAnsi="仿宋"/>
          <w:szCs w:val="32"/>
        </w:rPr>
        <w:t>11.34</w:t>
      </w:r>
      <w:r>
        <w:rPr>
          <w:rFonts w:hint="eastAsia" w:ascii="仿宋_GB2312"/>
          <w:szCs w:val="32"/>
        </w:rPr>
        <w:t>万元，占比7.85%。</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_GB2312"/>
          <w:szCs w:val="32"/>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szCs w:val="32"/>
        </w:rPr>
      </w:pPr>
      <w:r>
        <w:rPr>
          <w:rFonts w:hint="eastAsia" w:ascii="宋体" w:hAnsi="宋体" w:eastAsia="宋体"/>
          <w:sz w:val="28"/>
          <w:szCs w:val="28"/>
          <w:lang w:eastAsia="zh-CN"/>
        </w:rPr>
        <w:drawing>
          <wp:inline distT="0" distB="0" distL="114300" distR="114300">
            <wp:extent cx="5080000" cy="2291080"/>
            <wp:effectExtent l="4445" t="4445" r="20955" b="952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_GB2312"/>
          <w:szCs w:val="32"/>
        </w:rPr>
      </w:pPr>
    </w:p>
    <w:p>
      <w:pPr>
        <w:spacing w:line="580" w:lineRule="exact"/>
        <w:ind w:firstLine="643"/>
        <w:outlineLvl w:val="1"/>
        <w:rPr>
          <w:rFonts w:hint="eastAsia" w:ascii="仿宋_GB2312"/>
          <w:b/>
          <w:szCs w:val="32"/>
        </w:rPr>
      </w:pPr>
      <w:bookmarkStart w:id="18" w:name="_Toc1051"/>
      <w:r>
        <w:rPr>
          <w:rFonts w:hint="eastAsia" w:ascii="仿宋_GB2312"/>
          <w:b/>
          <w:szCs w:val="32"/>
        </w:rPr>
        <w:t>四、财政拨款收入支出决算总体情况说明</w:t>
      </w:r>
      <w:bookmarkEnd w:id="18"/>
    </w:p>
    <w:p>
      <w:pPr>
        <w:ind w:firstLine="640"/>
        <w:rPr>
          <w:rFonts w:hint="eastAsia" w:ascii="仿宋" w:hAnsi="仿宋" w:eastAsia="仿宋"/>
          <w:kern w:val="0"/>
          <w:szCs w:val="32"/>
        </w:rPr>
      </w:pPr>
      <w:r>
        <w:rPr>
          <w:rFonts w:hint="eastAsia" w:ascii="仿宋_GB2312"/>
          <w:szCs w:val="32"/>
        </w:rPr>
        <w:t>2021年度财政拨款收入</w:t>
      </w:r>
      <w:r>
        <w:rPr>
          <w:rFonts w:ascii="仿宋_GB2312"/>
          <w:szCs w:val="32"/>
        </w:rPr>
        <w:t>总计</w:t>
      </w:r>
      <w:r>
        <w:rPr>
          <w:rFonts w:hint="eastAsia" w:ascii="仿宋_GB2312" w:hAnsi="仿宋"/>
          <w:szCs w:val="32"/>
        </w:rPr>
        <w:t>144.23</w:t>
      </w:r>
      <w:r>
        <w:rPr>
          <w:rFonts w:hint="eastAsia" w:ascii="仿宋_GB2312"/>
          <w:szCs w:val="32"/>
        </w:rPr>
        <w:t>万元、支出总计</w:t>
      </w:r>
      <w:r>
        <w:rPr>
          <w:rFonts w:hint="eastAsia" w:ascii="仿宋_GB2312" w:hAnsi="仿宋"/>
          <w:szCs w:val="32"/>
        </w:rPr>
        <w:t>144.53</w:t>
      </w:r>
      <w:r>
        <w:rPr>
          <w:rFonts w:hint="eastAsia" w:ascii="仿宋_GB2312"/>
          <w:szCs w:val="32"/>
        </w:rPr>
        <w:t>万元。与2020年相比，财政拨款收入总计减少6.7万元，下降4.64%，财政拨款支出总计减少6.4万元，下降4.43%。主要原因是</w:t>
      </w:r>
      <w:r>
        <w:rPr>
          <w:rFonts w:hint="eastAsia" w:ascii="仿宋" w:hAnsi="仿宋" w:eastAsia="仿宋"/>
          <w:kern w:val="0"/>
          <w:szCs w:val="32"/>
        </w:rPr>
        <w:t>2020年退休人员李三凤丧葬费、抚恤金在项目支出。</w:t>
      </w:r>
    </w:p>
    <w:p>
      <w:pPr>
        <w:ind w:left="0" w:leftChars="0" w:firstLine="0" w:firstLineChars="0"/>
        <w:rPr>
          <w:rFonts w:hint="eastAsia" w:ascii="仿宋" w:hAnsi="仿宋" w:eastAsia="仿宋"/>
          <w:kern w:val="0"/>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kern w:val="0"/>
          <w:szCs w:val="32"/>
          <w:lang w:eastAsia="zh-CN"/>
        </w:rPr>
      </w:pPr>
      <w:r>
        <w:rPr>
          <w:rFonts w:hint="eastAsia" w:ascii="仿宋" w:hAnsi="仿宋" w:eastAsia="仿宋"/>
          <w:kern w:val="0"/>
          <w:szCs w:val="32"/>
          <w:lang w:eastAsia="zh-CN"/>
        </w:rPr>
        <w:drawing>
          <wp:inline distT="0" distB="0" distL="114300" distR="114300">
            <wp:extent cx="5080000" cy="3810000"/>
            <wp:effectExtent l="4445" t="4445" r="20955" b="1460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仿宋" w:hAnsi="仿宋" w:eastAsia="仿宋"/>
          <w:kern w:val="0"/>
          <w:szCs w:val="32"/>
        </w:rPr>
      </w:pPr>
    </w:p>
    <w:p>
      <w:pPr>
        <w:spacing w:line="580" w:lineRule="exact"/>
        <w:ind w:firstLine="643"/>
        <w:outlineLvl w:val="1"/>
        <w:rPr>
          <w:rFonts w:hint="eastAsia" w:ascii="仿宋_GB2312"/>
          <w:b/>
          <w:szCs w:val="32"/>
        </w:rPr>
      </w:pPr>
      <w:bookmarkStart w:id="19" w:name="_Toc25018"/>
      <w:r>
        <w:rPr>
          <w:rFonts w:hint="eastAsia" w:ascii="仿宋_GB2312"/>
          <w:b/>
          <w:szCs w:val="32"/>
        </w:rPr>
        <w:t>五、一般公共预算财政拨款支出决算情况说明</w:t>
      </w:r>
      <w:bookmarkEnd w:id="19"/>
    </w:p>
    <w:p>
      <w:pPr>
        <w:spacing w:line="580" w:lineRule="exact"/>
        <w:ind w:firstLine="643"/>
        <w:outlineLvl w:val="2"/>
        <w:rPr>
          <w:rFonts w:hint="eastAsia" w:ascii="仿宋_GB2312"/>
          <w:b/>
          <w:szCs w:val="32"/>
        </w:rPr>
      </w:pPr>
      <w:bookmarkStart w:id="20" w:name="_Toc9659"/>
      <w:r>
        <w:rPr>
          <w:rFonts w:hint="eastAsia" w:ascii="仿宋_GB2312"/>
          <w:b/>
          <w:szCs w:val="32"/>
        </w:rPr>
        <w:t>（一）财政拨款支出决算总体情况</w:t>
      </w:r>
      <w:bookmarkEnd w:id="20"/>
    </w:p>
    <w:p>
      <w:pPr>
        <w:spacing w:line="580" w:lineRule="exact"/>
        <w:ind w:firstLine="640"/>
        <w:rPr>
          <w:rFonts w:hint="default" w:ascii="宋体" w:hAnsi="宋体" w:eastAsia="仿宋_GB2312"/>
          <w:sz w:val="28"/>
          <w:szCs w:val="28"/>
          <w:lang w:val="en-US" w:eastAsia="zh-CN"/>
        </w:rPr>
      </w:pPr>
      <w:r>
        <w:rPr>
          <w:rFonts w:hint="eastAsia" w:ascii="仿宋_GB2312"/>
          <w:szCs w:val="32"/>
        </w:rPr>
        <w:t>2021年度财政拨款支出</w:t>
      </w:r>
      <w:r>
        <w:rPr>
          <w:rFonts w:ascii="仿宋_GB2312"/>
          <w:szCs w:val="32"/>
        </w:rPr>
        <w:t>144</w:t>
      </w:r>
      <w:r>
        <w:rPr>
          <w:rFonts w:hint="eastAsia" w:ascii="仿宋_GB2312"/>
          <w:szCs w:val="32"/>
        </w:rPr>
        <w:t>.</w:t>
      </w:r>
      <w:r>
        <w:rPr>
          <w:rFonts w:ascii="仿宋_GB2312"/>
          <w:szCs w:val="32"/>
        </w:rPr>
        <w:t>2</w:t>
      </w:r>
      <w:r>
        <w:rPr>
          <w:rFonts w:hint="eastAsia" w:ascii="仿宋_GB2312"/>
          <w:szCs w:val="32"/>
        </w:rPr>
        <w:t>3万元，占本年支出合计的100%。与2020年相比，财政拨款支出减少6.7万元，下降4.64%。主要原因是2020年退休人员李三凤丧葬费、抚恤金在项目支出。其中，人员经费131.99万元，占比91.51%%，日常公用经费12010元，占比0.83%</w:t>
      </w:r>
      <w:r>
        <w:rPr>
          <w:rFonts w:hint="eastAsia" w:ascii="仿宋_GB2312"/>
          <w:szCs w:val="32"/>
          <w:lang w:eastAsia="zh-CN"/>
        </w:rPr>
        <w:t>，</w:t>
      </w:r>
      <w:r>
        <w:rPr>
          <w:rFonts w:hint="eastAsia" w:ascii="仿宋_GB2312"/>
          <w:szCs w:val="32"/>
          <w:lang w:val="en-US" w:eastAsia="zh-CN"/>
        </w:rPr>
        <w:t>项目经费11.34万元，占比7.66%。</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eastAsia" w:ascii="宋体" w:hAnsi="宋体" w:eastAsia="宋体"/>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sz w:val="28"/>
          <w:szCs w:val="28"/>
          <w:lang w:eastAsia="zh-CN"/>
        </w:rPr>
      </w:pPr>
      <w:r>
        <w:rPr>
          <w:rFonts w:hint="eastAsia" w:ascii="宋体" w:hAnsi="宋体" w:eastAsia="宋体"/>
          <w:sz w:val="28"/>
          <w:szCs w:val="28"/>
          <w:lang w:val="en-US" w:eastAsia="zh-CN"/>
        </w:rPr>
        <w:t xml:space="preserve">    </w:t>
      </w:r>
      <w:r>
        <w:rPr>
          <w:rFonts w:hint="eastAsia" w:ascii="宋体" w:hAnsi="宋体" w:eastAsia="宋体"/>
          <w:sz w:val="28"/>
          <w:szCs w:val="28"/>
          <w:lang w:eastAsia="zh-CN"/>
        </w:rPr>
        <w:drawing>
          <wp:inline distT="0" distB="0" distL="114300" distR="114300">
            <wp:extent cx="5080000" cy="2868930"/>
            <wp:effectExtent l="4445" t="4445" r="20955" b="222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eastAsia" w:ascii="宋体" w:hAnsi="宋体" w:eastAsia="宋体"/>
          <w:sz w:val="28"/>
          <w:szCs w:val="28"/>
          <w:lang w:eastAsia="zh-CN"/>
        </w:rPr>
      </w:pPr>
    </w:p>
    <w:p>
      <w:pPr>
        <w:spacing w:line="580" w:lineRule="exact"/>
        <w:ind w:firstLine="643"/>
        <w:outlineLvl w:val="2"/>
        <w:rPr>
          <w:rFonts w:ascii="仿宋_GB2312"/>
          <w:b/>
          <w:szCs w:val="32"/>
        </w:rPr>
      </w:pPr>
      <w:bookmarkStart w:id="21" w:name="_Toc21835"/>
      <w:r>
        <w:rPr>
          <w:rFonts w:hint="eastAsia" w:ascii="仿宋_GB2312"/>
          <w:b/>
          <w:szCs w:val="32"/>
        </w:rPr>
        <w:t>（二）财政拨款</w:t>
      </w:r>
      <w:r>
        <w:rPr>
          <w:rFonts w:ascii="仿宋_GB2312"/>
          <w:b/>
          <w:szCs w:val="32"/>
        </w:rPr>
        <w:t>支出决算结构情况</w:t>
      </w:r>
      <w:bookmarkEnd w:id="21"/>
    </w:p>
    <w:p>
      <w:pPr>
        <w:ind w:firstLine="640"/>
        <w:rPr>
          <w:rFonts w:hint="eastAsia" w:ascii="仿宋_GB2312"/>
          <w:szCs w:val="32"/>
        </w:rPr>
      </w:pPr>
      <w:r>
        <w:rPr>
          <w:rFonts w:hint="eastAsia" w:ascii="仿宋_GB2312"/>
          <w:szCs w:val="32"/>
        </w:rPr>
        <w:t>2021年度</w:t>
      </w:r>
      <w:r>
        <w:rPr>
          <w:rFonts w:ascii="仿宋_GB2312"/>
          <w:szCs w:val="32"/>
        </w:rPr>
        <w:t>财政拨款支出</w:t>
      </w:r>
      <w:r>
        <w:rPr>
          <w:rFonts w:hint="eastAsia" w:ascii="仿宋_GB2312"/>
          <w:szCs w:val="32"/>
        </w:rPr>
        <w:t>144.53万元</w:t>
      </w:r>
      <w:r>
        <w:rPr>
          <w:rFonts w:ascii="仿宋_GB2312"/>
          <w:szCs w:val="32"/>
        </w:rPr>
        <w:t>，主要用于以下方面：</w:t>
      </w:r>
      <w:r>
        <w:rPr>
          <w:rFonts w:hint="eastAsia" w:ascii="仿宋_GB2312"/>
          <w:b/>
          <w:szCs w:val="32"/>
        </w:rPr>
        <w:t>教育</w:t>
      </w:r>
      <w:r>
        <w:rPr>
          <w:rFonts w:hint="eastAsia" w:ascii="仿宋_GB2312"/>
          <w:szCs w:val="32"/>
        </w:rPr>
        <w:t>支出</w:t>
      </w:r>
      <w:r>
        <w:rPr>
          <w:rFonts w:hint="eastAsia" w:ascii="仿宋_GB2312" w:hAnsi="仿宋"/>
          <w:szCs w:val="32"/>
        </w:rPr>
        <w:t>101.57</w:t>
      </w:r>
      <w:r>
        <w:rPr>
          <w:rFonts w:hint="eastAsia" w:ascii="仿宋_GB2312"/>
          <w:szCs w:val="32"/>
        </w:rPr>
        <w:t>万元</w:t>
      </w:r>
      <w:r>
        <w:rPr>
          <w:rFonts w:ascii="仿宋_GB2312"/>
          <w:szCs w:val="32"/>
        </w:rPr>
        <w:t>，占</w:t>
      </w:r>
      <w:r>
        <w:rPr>
          <w:rFonts w:hint="eastAsia" w:ascii="仿宋_GB2312"/>
          <w:szCs w:val="32"/>
        </w:rPr>
        <w:t>70.28</w:t>
      </w:r>
      <w:r>
        <w:rPr>
          <w:rFonts w:ascii="仿宋_GB2312"/>
          <w:szCs w:val="32"/>
        </w:rPr>
        <w:t>%；</w:t>
      </w:r>
      <w:r>
        <w:rPr>
          <w:rFonts w:hint="eastAsia" w:ascii="仿宋_GB2312"/>
          <w:b/>
          <w:szCs w:val="32"/>
        </w:rPr>
        <w:t>社会</w:t>
      </w:r>
      <w:r>
        <w:rPr>
          <w:rFonts w:ascii="仿宋_GB2312"/>
          <w:b/>
          <w:szCs w:val="32"/>
        </w:rPr>
        <w:t>保障和就业</w:t>
      </w:r>
      <w:r>
        <w:rPr>
          <w:rFonts w:hint="eastAsia" w:ascii="仿宋_GB2312"/>
          <w:szCs w:val="32"/>
        </w:rPr>
        <w:t>支出</w:t>
      </w:r>
      <w:r>
        <w:rPr>
          <w:rFonts w:hint="eastAsia" w:ascii="仿宋_GB2312" w:hAnsi="仿宋"/>
          <w:szCs w:val="32"/>
        </w:rPr>
        <w:t>29.17</w:t>
      </w:r>
      <w:r>
        <w:rPr>
          <w:rFonts w:hint="eastAsia" w:ascii="仿宋_GB2312"/>
          <w:szCs w:val="32"/>
        </w:rPr>
        <w:t>万元</w:t>
      </w:r>
      <w:r>
        <w:rPr>
          <w:rFonts w:ascii="仿宋_GB2312"/>
          <w:szCs w:val="32"/>
        </w:rPr>
        <w:t>，占</w:t>
      </w:r>
      <w:r>
        <w:rPr>
          <w:rFonts w:hint="eastAsia" w:ascii="仿宋_GB2312"/>
          <w:szCs w:val="32"/>
        </w:rPr>
        <w:t>20.18</w:t>
      </w:r>
      <w:r>
        <w:rPr>
          <w:rFonts w:ascii="仿宋_GB2312"/>
          <w:szCs w:val="32"/>
        </w:rPr>
        <w:t>%；</w:t>
      </w:r>
      <w:r>
        <w:rPr>
          <w:rFonts w:hint="eastAsia" w:ascii="仿宋_GB2312"/>
          <w:b/>
          <w:szCs w:val="32"/>
        </w:rPr>
        <w:t>卫生</w:t>
      </w:r>
      <w:r>
        <w:rPr>
          <w:rFonts w:ascii="仿宋_GB2312"/>
          <w:b/>
          <w:szCs w:val="32"/>
        </w:rPr>
        <w:t>健康</w:t>
      </w:r>
      <w:r>
        <w:rPr>
          <w:rFonts w:hint="eastAsia" w:ascii="仿宋_GB2312"/>
          <w:szCs w:val="32"/>
        </w:rPr>
        <w:t>支出6.65万元</w:t>
      </w:r>
      <w:r>
        <w:rPr>
          <w:rFonts w:ascii="仿宋_GB2312"/>
          <w:szCs w:val="32"/>
        </w:rPr>
        <w:t>，占</w:t>
      </w:r>
      <w:r>
        <w:rPr>
          <w:rFonts w:hint="eastAsia" w:ascii="仿宋_GB2312"/>
          <w:szCs w:val="32"/>
        </w:rPr>
        <w:t>4.6</w:t>
      </w:r>
      <w:r>
        <w:rPr>
          <w:rFonts w:ascii="仿宋_GB2312"/>
          <w:szCs w:val="32"/>
        </w:rPr>
        <w:t>%；</w:t>
      </w:r>
      <w:r>
        <w:rPr>
          <w:rFonts w:hint="eastAsia" w:ascii="仿宋_GB2312"/>
          <w:b/>
          <w:szCs w:val="32"/>
        </w:rPr>
        <w:t>住房保障</w:t>
      </w:r>
      <w:r>
        <w:rPr>
          <w:rFonts w:hint="eastAsia" w:ascii="仿宋_GB2312"/>
          <w:szCs w:val="32"/>
        </w:rPr>
        <w:t>支出7.14万元</w:t>
      </w:r>
      <w:r>
        <w:rPr>
          <w:rFonts w:ascii="仿宋_GB2312"/>
          <w:szCs w:val="32"/>
        </w:rPr>
        <w:t>，占</w:t>
      </w:r>
      <w:r>
        <w:rPr>
          <w:rFonts w:hint="eastAsia" w:ascii="仿宋_GB2312"/>
          <w:szCs w:val="32"/>
        </w:rPr>
        <w:t>4.94</w:t>
      </w:r>
      <w:r>
        <w:rPr>
          <w:rFonts w:ascii="仿宋_GB2312"/>
          <w:szCs w:val="32"/>
        </w:rPr>
        <w:t>%</w:t>
      </w:r>
      <w:r>
        <w:rPr>
          <w:rFonts w:hint="eastAsia" w:ascii="仿宋_GB2312"/>
          <w:szCs w:val="32"/>
        </w:rPr>
        <w:t>。</w:t>
      </w:r>
    </w:p>
    <w:p>
      <w:pPr>
        <w:spacing w:line="240" w:lineRule="auto"/>
        <w:ind w:firstLine="0" w:firstLineChars="0"/>
        <w:jc w:val="center"/>
        <w:rPr>
          <w:rFonts w:hint="eastAsia" w:ascii="仿宋_GB2312" w:eastAsia="仿宋_GB2312"/>
          <w:szCs w:val="32"/>
          <w:lang w:eastAsia="zh-CN"/>
        </w:rPr>
      </w:pPr>
      <w:r>
        <w:rPr>
          <w:rFonts w:hint="eastAsia" w:ascii="仿宋_GB2312" w:eastAsia="仿宋_GB2312"/>
          <w:szCs w:val="32"/>
          <w:lang w:eastAsia="zh-CN"/>
        </w:rPr>
        <w:drawing>
          <wp:inline distT="0" distB="0" distL="114300" distR="114300">
            <wp:extent cx="5080000" cy="2823210"/>
            <wp:effectExtent l="4445" t="4445" r="20955" b="1079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580" w:lineRule="exact"/>
        <w:ind w:firstLine="643"/>
        <w:outlineLvl w:val="2"/>
        <w:rPr>
          <w:rFonts w:hint="eastAsia" w:ascii="仿宋_GB2312"/>
          <w:b/>
          <w:szCs w:val="32"/>
        </w:rPr>
      </w:pPr>
      <w:bookmarkStart w:id="22" w:name="_Toc23888"/>
      <w:r>
        <w:rPr>
          <w:rFonts w:hint="eastAsia" w:ascii="仿宋_GB2312"/>
          <w:b/>
          <w:szCs w:val="32"/>
        </w:rPr>
        <w:t>（三）财政拨款支出决算具体情况</w:t>
      </w:r>
      <w:bookmarkEnd w:id="22"/>
    </w:p>
    <w:p>
      <w:pPr>
        <w:ind w:firstLine="640"/>
        <w:rPr>
          <w:rFonts w:hint="eastAsia" w:ascii="仿宋_GB2312"/>
          <w:szCs w:val="32"/>
        </w:rPr>
      </w:pPr>
      <w:r>
        <w:rPr>
          <w:rFonts w:hint="eastAsia"/>
          <w:szCs w:val="32"/>
        </w:rPr>
        <w:t>2021年度财政拨款支出年初预算134.7万元，支出决算144.53万元，完成年初预算的107.3</w:t>
      </w:r>
      <w:r>
        <w:rPr>
          <w:szCs w:val="32"/>
        </w:rPr>
        <w:t>%</w:t>
      </w:r>
      <w:r>
        <w:rPr>
          <w:rFonts w:hint="eastAsia"/>
          <w:szCs w:val="32"/>
        </w:rPr>
        <w:t>。其中：</w:t>
      </w:r>
      <w:r>
        <w:rPr>
          <w:rFonts w:hint="eastAsia" w:ascii="仿宋_GB2312"/>
          <w:b/>
          <w:szCs w:val="32"/>
        </w:rPr>
        <w:t>教育支出</w:t>
      </w:r>
      <w:r>
        <w:rPr>
          <w:rFonts w:hint="eastAsia" w:ascii="仿宋_GB2312"/>
          <w:szCs w:val="32"/>
        </w:rPr>
        <w:t>年初预算</w:t>
      </w:r>
      <w:r>
        <w:rPr>
          <w:rFonts w:ascii="仿宋_GB2312" w:hAnsi="仿宋"/>
          <w:szCs w:val="32"/>
        </w:rPr>
        <w:t>101</w:t>
      </w:r>
      <w:r>
        <w:rPr>
          <w:rFonts w:hint="eastAsia" w:ascii="仿宋_GB2312" w:hAnsi="仿宋"/>
          <w:szCs w:val="32"/>
        </w:rPr>
        <w:t>.</w:t>
      </w:r>
      <w:r>
        <w:rPr>
          <w:rFonts w:ascii="仿宋_GB2312" w:hAnsi="仿宋"/>
          <w:szCs w:val="32"/>
        </w:rPr>
        <w:t>73</w:t>
      </w:r>
      <w:r>
        <w:rPr>
          <w:rFonts w:hint="eastAsia" w:ascii="仿宋_GB2312"/>
          <w:szCs w:val="32"/>
        </w:rPr>
        <w:t>万元</w:t>
      </w:r>
      <w:r>
        <w:rPr>
          <w:rFonts w:ascii="仿宋_GB2312"/>
          <w:szCs w:val="32"/>
        </w:rPr>
        <w:t>，支出决算</w:t>
      </w:r>
      <w:r>
        <w:rPr>
          <w:rFonts w:hint="eastAsia" w:ascii="仿宋_GB2312"/>
          <w:szCs w:val="32"/>
        </w:rPr>
        <w:t>101.57万元，完成年初预算的99.84</w:t>
      </w:r>
      <w:r>
        <w:rPr>
          <w:rFonts w:ascii="仿宋_GB2312"/>
          <w:szCs w:val="32"/>
        </w:rPr>
        <w:t>%，用于工资福利支出，较</w:t>
      </w:r>
      <w:r>
        <w:rPr>
          <w:rFonts w:hint="eastAsia" w:ascii="仿宋_GB2312"/>
          <w:szCs w:val="32"/>
        </w:rPr>
        <w:t>2020年决算增加1.26万元，增长1.26%，主要原因为</w:t>
      </w:r>
      <w:r>
        <w:rPr>
          <w:rFonts w:hint="eastAsia" w:ascii="仿宋_GB2312" w:hAnsi="仿宋"/>
          <w:szCs w:val="32"/>
        </w:rPr>
        <w:t>本年度人员薪级增加，工资福利增加；</w:t>
      </w:r>
      <w:r>
        <w:rPr>
          <w:rFonts w:hint="eastAsia" w:ascii="仿宋_GB2312"/>
          <w:b/>
          <w:szCs w:val="32"/>
        </w:rPr>
        <w:t>社会</w:t>
      </w:r>
      <w:r>
        <w:rPr>
          <w:rFonts w:ascii="仿宋_GB2312"/>
          <w:b/>
          <w:szCs w:val="32"/>
        </w:rPr>
        <w:t>保障和就业</w:t>
      </w:r>
      <w:r>
        <w:rPr>
          <w:rFonts w:hint="eastAsia" w:ascii="仿宋_GB2312"/>
          <w:szCs w:val="32"/>
        </w:rPr>
        <w:t>支出年初预算</w:t>
      </w:r>
      <w:r>
        <w:rPr>
          <w:rFonts w:hint="eastAsia" w:ascii="仿宋_GB2312" w:hAnsi="仿宋"/>
          <w:szCs w:val="32"/>
        </w:rPr>
        <w:t>19.18</w:t>
      </w:r>
      <w:r>
        <w:rPr>
          <w:rFonts w:hint="eastAsia" w:ascii="仿宋_GB2312"/>
          <w:szCs w:val="32"/>
        </w:rPr>
        <w:t>万元</w:t>
      </w:r>
      <w:r>
        <w:rPr>
          <w:rFonts w:ascii="仿宋_GB2312"/>
          <w:szCs w:val="32"/>
        </w:rPr>
        <w:t>，支出决算</w:t>
      </w:r>
      <w:r>
        <w:rPr>
          <w:rFonts w:hint="eastAsia" w:ascii="仿宋_GB2312"/>
          <w:szCs w:val="32"/>
        </w:rPr>
        <w:t>29.17万元，完成年初预算的152.09</w:t>
      </w:r>
      <w:r>
        <w:rPr>
          <w:rFonts w:ascii="仿宋_GB2312"/>
          <w:szCs w:val="32"/>
        </w:rPr>
        <w:t>%，用于退休人员丧葬费、</w:t>
      </w:r>
      <w:r>
        <w:rPr>
          <w:rFonts w:hint="eastAsia" w:ascii="仿宋" w:hAnsi="仿宋" w:eastAsia="仿宋"/>
          <w:kern w:val="0"/>
          <w:szCs w:val="32"/>
        </w:rPr>
        <w:t>抚恤金支出，</w:t>
      </w:r>
      <w:r>
        <w:rPr>
          <w:rFonts w:ascii="仿宋_GB2312"/>
          <w:szCs w:val="32"/>
        </w:rPr>
        <w:t>较</w:t>
      </w:r>
      <w:r>
        <w:rPr>
          <w:rFonts w:hint="eastAsia" w:ascii="仿宋_GB2312"/>
          <w:szCs w:val="32"/>
        </w:rPr>
        <w:t>2020年决算减少8.15万元，降低21.84%</w:t>
      </w:r>
      <w:r>
        <w:rPr>
          <w:rFonts w:hint="eastAsia" w:ascii="仿宋_GB2312"/>
          <w:szCs w:val="32"/>
          <w:lang w:eastAsia="zh-CN"/>
        </w:rPr>
        <w:t>，</w:t>
      </w:r>
      <w:r>
        <w:rPr>
          <w:rFonts w:hint="eastAsia" w:ascii="仿宋_GB2312" w:hAnsi="仿宋"/>
          <w:szCs w:val="32"/>
        </w:rPr>
        <w:t>主要原因为</w:t>
      </w:r>
      <w:r>
        <w:rPr>
          <w:rFonts w:hint="eastAsia" w:ascii="仿宋" w:hAnsi="仿宋" w:eastAsia="仿宋"/>
          <w:kern w:val="0"/>
          <w:szCs w:val="32"/>
        </w:rPr>
        <w:t>退休人员李三凤丧葬费、抚恤金在</w:t>
      </w:r>
      <w:r>
        <w:rPr>
          <w:rFonts w:hint="eastAsia" w:ascii="仿宋_GB2312" w:hAnsi="仿宋"/>
          <w:szCs w:val="32"/>
        </w:rPr>
        <w:t>2020年支出，退休人员职业年金做实部分在2021年支出；</w:t>
      </w:r>
      <w:r>
        <w:rPr>
          <w:rFonts w:hint="eastAsia" w:ascii="仿宋_GB2312"/>
          <w:b/>
          <w:szCs w:val="32"/>
        </w:rPr>
        <w:t>卫生</w:t>
      </w:r>
      <w:r>
        <w:rPr>
          <w:rFonts w:ascii="仿宋_GB2312"/>
          <w:b/>
          <w:szCs w:val="32"/>
        </w:rPr>
        <w:t>健康</w:t>
      </w:r>
      <w:r>
        <w:rPr>
          <w:rFonts w:hint="eastAsia" w:ascii="仿宋_GB2312"/>
          <w:szCs w:val="32"/>
        </w:rPr>
        <w:t>支出</w:t>
      </w:r>
      <w:r>
        <w:rPr>
          <w:rFonts w:hint="eastAsia" w:ascii="仿宋_GB2312"/>
          <w:szCs w:val="32"/>
          <w:lang w:val="en-US" w:eastAsia="zh-CN"/>
        </w:rPr>
        <w:t>年初预算</w:t>
      </w:r>
      <w:r>
        <w:rPr>
          <w:rFonts w:hint="eastAsia" w:ascii="仿宋_GB2312"/>
          <w:szCs w:val="32"/>
        </w:rPr>
        <w:t>6.46万元</w:t>
      </w:r>
      <w:r>
        <w:rPr>
          <w:rFonts w:ascii="仿宋_GB2312"/>
          <w:szCs w:val="32"/>
        </w:rPr>
        <w:t>，支出决算</w:t>
      </w:r>
      <w:r>
        <w:rPr>
          <w:rFonts w:hint="eastAsia" w:ascii="仿宋_GB2312"/>
          <w:szCs w:val="32"/>
        </w:rPr>
        <w:t>6.65万元，完成年初预算的102.94</w:t>
      </w:r>
      <w:r>
        <w:rPr>
          <w:rFonts w:ascii="仿宋_GB2312"/>
          <w:szCs w:val="32"/>
        </w:rPr>
        <w:t>%，</w:t>
      </w:r>
      <w:r>
        <w:rPr>
          <w:rFonts w:hint="eastAsia" w:ascii="仿宋_GB2312"/>
          <w:szCs w:val="32"/>
        </w:rPr>
        <w:t>用于</w:t>
      </w:r>
      <w:r>
        <w:rPr>
          <w:rFonts w:hint="eastAsia" w:ascii="仿宋_GB2312" w:hAnsi="仿宋"/>
          <w:szCs w:val="32"/>
        </w:rPr>
        <w:t>医疗卫生健康</w:t>
      </w:r>
      <w:r>
        <w:rPr>
          <w:rFonts w:ascii="仿宋_GB2312"/>
          <w:szCs w:val="32"/>
        </w:rPr>
        <w:t>等各种保险支出，较</w:t>
      </w:r>
      <w:r>
        <w:rPr>
          <w:rFonts w:hint="eastAsia" w:ascii="仿宋_GB2312"/>
          <w:szCs w:val="32"/>
        </w:rPr>
        <w:t>2020年增加0.24万元，增长3.75%，主要原因为</w:t>
      </w:r>
      <w:r>
        <w:rPr>
          <w:rFonts w:hint="eastAsia" w:ascii="仿宋_GB2312" w:hAnsi="仿宋"/>
          <w:szCs w:val="32"/>
        </w:rPr>
        <w:t>本年度人员薪级增加，工资福利增加；</w:t>
      </w:r>
      <w:r>
        <w:rPr>
          <w:rFonts w:hint="eastAsia" w:ascii="仿宋_GB2312"/>
          <w:b/>
          <w:szCs w:val="32"/>
        </w:rPr>
        <w:t>住房保障</w:t>
      </w:r>
      <w:r>
        <w:rPr>
          <w:rFonts w:hint="eastAsia" w:ascii="仿宋_GB2312"/>
          <w:szCs w:val="32"/>
        </w:rPr>
        <w:t>支出7.14万元</w:t>
      </w:r>
      <w:r>
        <w:rPr>
          <w:rFonts w:ascii="仿宋_GB2312"/>
          <w:szCs w:val="32"/>
        </w:rPr>
        <w:t>，支出决算</w:t>
      </w:r>
      <w:r>
        <w:rPr>
          <w:rFonts w:hint="eastAsia" w:ascii="仿宋_GB2312"/>
          <w:szCs w:val="32"/>
        </w:rPr>
        <w:t>7.15万元，完成年初预算的100.14</w:t>
      </w:r>
      <w:r>
        <w:rPr>
          <w:rFonts w:ascii="仿宋_GB2312"/>
          <w:szCs w:val="32"/>
        </w:rPr>
        <w:t>%，用于住房公积金支出，较</w:t>
      </w:r>
      <w:r>
        <w:rPr>
          <w:rFonts w:hint="eastAsia" w:ascii="仿宋_GB2312"/>
          <w:szCs w:val="32"/>
        </w:rPr>
        <w:t>2020年决算增加0.74万元，增加3.75%，主要原因为</w:t>
      </w:r>
      <w:r>
        <w:rPr>
          <w:rFonts w:hint="eastAsia" w:ascii="仿宋_GB2312" w:hAnsi="仿宋"/>
          <w:szCs w:val="32"/>
        </w:rPr>
        <w:t>本年度人员薪级增加，工资福利增加</w:t>
      </w:r>
      <w:r>
        <w:rPr>
          <w:rFonts w:hint="eastAsia" w:ascii="仿宋_GB2312"/>
          <w:szCs w:val="32"/>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eastAsia="仿宋_GB231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szCs w:val="32"/>
        </w:rPr>
      </w:pPr>
      <w:r>
        <w:rPr>
          <w:rFonts w:hint="eastAsia" w:ascii="仿宋_GB2312" w:eastAsia="仿宋_GB2312"/>
          <w:szCs w:val="32"/>
          <w:lang w:eastAsia="zh-CN"/>
        </w:rPr>
        <w:drawing>
          <wp:inline distT="0" distB="0" distL="114300" distR="114300">
            <wp:extent cx="5448300" cy="3335020"/>
            <wp:effectExtent l="5080" t="4445" r="13970" b="1333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580" w:lineRule="exact"/>
        <w:ind w:firstLine="643"/>
        <w:outlineLvl w:val="1"/>
        <w:rPr>
          <w:b/>
          <w:szCs w:val="32"/>
        </w:rPr>
      </w:pPr>
      <w:bookmarkStart w:id="23" w:name="_Toc9425"/>
      <w:r>
        <w:rPr>
          <w:rFonts w:hint="eastAsia"/>
          <w:b/>
          <w:szCs w:val="32"/>
        </w:rPr>
        <w:t>六、一般公共预算</w:t>
      </w:r>
      <w:r>
        <w:rPr>
          <w:b/>
          <w:szCs w:val="32"/>
        </w:rPr>
        <w:t>财政拨款基本支出决算情况说明</w:t>
      </w:r>
      <w:bookmarkEnd w:id="23"/>
    </w:p>
    <w:p>
      <w:pPr>
        <w:spacing w:line="580" w:lineRule="exact"/>
        <w:ind w:firstLine="640"/>
        <w:rPr>
          <w:rFonts w:hint="default" w:ascii="仿宋_GB2312" w:eastAsia="仿宋_GB2312"/>
          <w:szCs w:val="32"/>
          <w:lang w:val="en-US" w:eastAsia="zh-CN"/>
        </w:rPr>
      </w:pPr>
      <w:r>
        <w:rPr>
          <w:rFonts w:hint="eastAsia" w:ascii="仿宋_GB2312"/>
          <w:szCs w:val="32"/>
        </w:rPr>
        <w:t>2021年度</w:t>
      </w:r>
      <w:r>
        <w:rPr>
          <w:rFonts w:ascii="仿宋_GB2312"/>
          <w:szCs w:val="32"/>
        </w:rPr>
        <w:t>财政拨款</w:t>
      </w:r>
      <w:r>
        <w:rPr>
          <w:rFonts w:hint="eastAsia" w:ascii="仿宋_GB2312"/>
          <w:szCs w:val="32"/>
        </w:rPr>
        <w:t>基本</w:t>
      </w:r>
      <w:r>
        <w:rPr>
          <w:rFonts w:ascii="仿宋_GB2312"/>
          <w:szCs w:val="32"/>
        </w:rPr>
        <w:t>支出</w:t>
      </w:r>
      <w:r>
        <w:rPr>
          <w:rFonts w:hint="eastAsia" w:ascii="仿宋_GB2312"/>
          <w:szCs w:val="32"/>
        </w:rPr>
        <w:t>144.53万元</w:t>
      </w:r>
      <w:r>
        <w:rPr>
          <w:rFonts w:ascii="仿宋_GB2312"/>
          <w:szCs w:val="32"/>
        </w:rPr>
        <w:t>，其中</w:t>
      </w:r>
      <w:r>
        <w:rPr>
          <w:rFonts w:hint="eastAsia" w:ascii="仿宋_GB2312"/>
          <w:szCs w:val="32"/>
        </w:rPr>
        <w:t>：人员</w:t>
      </w:r>
      <w:r>
        <w:rPr>
          <w:rFonts w:ascii="仿宋_GB2312"/>
          <w:szCs w:val="32"/>
        </w:rPr>
        <w:t>经费</w:t>
      </w:r>
      <w:r>
        <w:rPr>
          <w:rFonts w:hint="eastAsia" w:ascii="仿宋_GB2312"/>
          <w:szCs w:val="32"/>
        </w:rPr>
        <w:t>128.23万元</w:t>
      </w:r>
      <w:r>
        <w:rPr>
          <w:rFonts w:ascii="仿宋_GB2312"/>
          <w:szCs w:val="32"/>
        </w:rPr>
        <w:t>，</w:t>
      </w:r>
      <w:r>
        <w:rPr>
          <w:rFonts w:hint="eastAsia" w:ascii="仿宋_GB2312"/>
          <w:szCs w:val="32"/>
        </w:rPr>
        <w:t>主要</w:t>
      </w:r>
      <w:r>
        <w:rPr>
          <w:rFonts w:ascii="仿宋_GB2312"/>
          <w:szCs w:val="32"/>
        </w:rPr>
        <w:t>包括基本工资</w:t>
      </w:r>
      <w:r>
        <w:rPr>
          <w:rFonts w:hint="eastAsia" w:ascii="仿宋_GB2312"/>
          <w:szCs w:val="32"/>
        </w:rPr>
        <w:t>59.88万元，津贴补贴6.33万元，绩效工资32.28万元，养老保险缴费14.77万元，医疗保险缴费6.46万元，住房公积金7.14万元，对个人和家庭补助13.31万元</w:t>
      </w:r>
      <w:r>
        <w:rPr>
          <w:rFonts w:ascii="仿宋_GB2312"/>
          <w:szCs w:val="32"/>
        </w:rPr>
        <w:t>；</w:t>
      </w:r>
      <w:r>
        <w:rPr>
          <w:rFonts w:hint="eastAsia" w:ascii="仿宋_GB2312"/>
          <w:szCs w:val="32"/>
        </w:rPr>
        <w:t>公用</w:t>
      </w:r>
      <w:r>
        <w:rPr>
          <w:rFonts w:ascii="仿宋_GB2312"/>
          <w:szCs w:val="32"/>
        </w:rPr>
        <w:t>经费</w:t>
      </w:r>
      <w:r>
        <w:rPr>
          <w:rFonts w:hint="eastAsia" w:ascii="仿宋_GB2312"/>
          <w:szCs w:val="32"/>
        </w:rPr>
        <w:t>1.2万元</w:t>
      </w:r>
      <w:r>
        <w:rPr>
          <w:rFonts w:ascii="仿宋_GB2312"/>
          <w:szCs w:val="32"/>
        </w:rPr>
        <w:t>，主要包括办公费</w:t>
      </w:r>
      <w:r>
        <w:rPr>
          <w:rFonts w:hint="eastAsia" w:ascii="仿宋_GB2312"/>
          <w:szCs w:val="32"/>
        </w:rPr>
        <w:t>0.1万元，邮电费0.05万元，差旅费0.0541万元，工会经费0.9969万元</w:t>
      </w:r>
      <w:r>
        <w:rPr>
          <w:rFonts w:ascii="仿宋_GB2312"/>
          <w:szCs w:val="32"/>
        </w:rPr>
        <w:t>。</w:t>
      </w:r>
      <w:r>
        <w:rPr>
          <w:rFonts w:hint="eastAsia" w:ascii="仿宋_GB2312"/>
          <w:szCs w:val="32"/>
          <w:lang w:val="en-US" w:eastAsia="zh-CN"/>
        </w:rPr>
        <w:t>高素质农民培训项目经费3万元。</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ascii="仿宋_GB2312"/>
          <w:szCs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仿宋_GB2312"/>
          <w:szCs w:val="32"/>
        </w:rPr>
      </w:pPr>
      <w:r>
        <w:rPr>
          <w:rFonts w:hint="eastAsia" w:ascii="仿宋_GB2312" w:eastAsia="仿宋_GB2312"/>
          <w:szCs w:val="32"/>
          <w:lang w:eastAsia="zh-CN"/>
        </w:rPr>
        <w:drawing>
          <wp:inline distT="0" distB="0" distL="114300" distR="114300">
            <wp:extent cx="5508625" cy="2595880"/>
            <wp:effectExtent l="4445" t="4445" r="11430" b="952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line="580" w:lineRule="exact"/>
        <w:ind w:firstLine="643"/>
        <w:outlineLvl w:val="1"/>
        <w:rPr>
          <w:rFonts w:hint="eastAsia" w:ascii="仿宋_GB2312"/>
          <w:b/>
          <w:szCs w:val="32"/>
        </w:rPr>
      </w:pPr>
      <w:bookmarkStart w:id="24" w:name="_Toc1166"/>
      <w:r>
        <w:rPr>
          <w:rFonts w:hint="eastAsia" w:ascii="仿宋_GB2312"/>
          <w:b/>
          <w:szCs w:val="32"/>
        </w:rPr>
        <w:t>七、一般公共预算财政拨款“三公”经费支出决算情况说明</w:t>
      </w:r>
      <w:bookmarkEnd w:id="24"/>
    </w:p>
    <w:p>
      <w:pPr>
        <w:spacing w:line="580" w:lineRule="exact"/>
        <w:ind w:firstLine="640"/>
        <w:rPr>
          <w:rFonts w:hint="eastAsia"/>
          <w:szCs w:val="32"/>
        </w:rPr>
      </w:pPr>
      <w:r>
        <w:rPr>
          <w:rFonts w:hint="eastAsia" w:ascii="仿宋_GB2312"/>
          <w:szCs w:val="32"/>
          <w:lang w:val="en-US" w:eastAsia="zh-CN"/>
        </w:rPr>
        <w:t>2021</w:t>
      </w:r>
      <w:r>
        <w:rPr>
          <w:rFonts w:hint="eastAsia"/>
          <w:szCs w:val="32"/>
          <w:lang w:val="en-US" w:eastAsia="zh-CN"/>
        </w:rPr>
        <w:t>年度</w:t>
      </w:r>
      <w:r>
        <w:rPr>
          <w:rFonts w:hint="eastAsia"/>
          <w:szCs w:val="32"/>
        </w:rPr>
        <w:t>本单位无三公经费。</w:t>
      </w:r>
    </w:p>
    <w:p>
      <w:pPr>
        <w:spacing w:line="580" w:lineRule="exact"/>
        <w:ind w:firstLine="643"/>
        <w:outlineLvl w:val="1"/>
        <w:rPr>
          <w:rFonts w:hint="eastAsia"/>
          <w:b/>
          <w:szCs w:val="32"/>
        </w:rPr>
      </w:pPr>
      <w:bookmarkStart w:id="25" w:name="_Toc971"/>
      <w:r>
        <w:rPr>
          <w:rFonts w:hint="eastAsia"/>
          <w:b/>
          <w:szCs w:val="32"/>
        </w:rPr>
        <w:t>八、其他重要事项情况说明</w:t>
      </w:r>
      <w:bookmarkEnd w:id="25"/>
    </w:p>
    <w:p>
      <w:pPr>
        <w:spacing w:line="580" w:lineRule="exact"/>
        <w:ind w:firstLine="643"/>
        <w:outlineLvl w:val="2"/>
        <w:rPr>
          <w:rFonts w:hint="eastAsia" w:ascii="仿宋_GB2312"/>
          <w:szCs w:val="32"/>
        </w:rPr>
      </w:pPr>
      <w:bookmarkStart w:id="26" w:name="_Toc10022"/>
      <w:r>
        <w:rPr>
          <w:rFonts w:hint="eastAsia" w:ascii="仿宋_GB2312"/>
          <w:b/>
          <w:szCs w:val="32"/>
        </w:rPr>
        <w:t>（一）机关运行经费支出情况说明</w:t>
      </w:r>
      <w:bookmarkEnd w:id="26"/>
    </w:p>
    <w:p>
      <w:pPr>
        <w:spacing w:line="580" w:lineRule="exact"/>
        <w:ind w:firstLine="640"/>
        <w:rPr>
          <w:rFonts w:hint="eastAsia"/>
          <w:szCs w:val="32"/>
        </w:rPr>
      </w:pPr>
      <w:r>
        <w:rPr>
          <w:rFonts w:hint="eastAsia" w:ascii="仿宋_GB2312"/>
          <w:szCs w:val="32"/>
          <w:lang w:val="en-US" w:eastAsia="zh-CN"/>
        </w:rPr>
        <w:t>2021</w:t>
      </w:r>
      <w:r>
        <w:rPr>
          <w:rFonts w:hint="eastAsia"/>
          <w:szCs w:val="32"/>
          <w:lang w:val="en-US" w:eastAsia="zh-CN"/>
        </w:rPr>
        <w:t>年度</w:t>
      </w:r>
      <w:r>
        <w:rPr>
          <w:rFonts w:hint="eastAsia"/>
          <w:szCs w:val="32"/>
        </w:rPr>
        <w:t>本单位无机关运行经费。</w:t>
      </w:r>
    </w:p>
    <w:p>
      <w:pPr>
        <w:spacing w:line="580" w:lineRule="exact"/>
        <w:ind w:firstLine="643"/>
        <w:outlineLvl w:val="2"/>
        <w:rPr>
          <w:rFonts w:hint="eastAsia" w:ascii="仿宋_GB2312"/>
          <w:b/>
          <w:szCs w:val="32"/>
        </w:rPr>
      </w:pPr>
      <w:bookmarkStart w:id="27" w:name="_Toc9357"/>
      <w:r>
        <w:rPr>
          <w:rFonts w:hint="eastAsia" w:ascii="仿宋_GB2312"/>
          <w:b/>
          <w:szCs w:val="32"/>
        </w:rPr>
        <w:t>（二）政府采购情况说明</w:t>
      </w:r>
      <w:bookmarkEnd w:id="27"/>
    </w:p>
    <w:p>
      <w:pPr>
        <w:spacing w:line="580" w:lineRule="exact"/>
        <w:ind w:firstLine="640"/>
        <w:rPr>
          <w:rFonts w:hint="eastAsia" w:ascii="仿宋_GB2312"/>
          <w:szCs w:val="32"/>
        </w:rPr>
      </w:pPr>
      <w:r>
        <w:rPr>
          <w:rFonts w:hint="eastAsia" w:ascii="仿宋_GB2312"/>
          <w:szCs w:val="32"/>
          <w:lang w:val="en-US" w:eastAsia="zh-CN"/>
        </w:rPr>
        <w:t>2021年度</w:t>
      </w:r>
      <w:r>
        <w:rPr>
          <w:rFonts w:hint="eastAsia" w:ascii="仿宋_GB2312"/>
          <w:szCs w:val="32"/>
        </w:rPr>
        <w:t>本单位无政府采购支出。</w:t>
      </w:r>
    </w:p>
    <w:p>
      <w:pPr>
        <w:spacing w:line="580" w:lineRule="exact"/>
        <w:ind w:firstLine="517" w:firstLineChars="161"/>
        <w:outlineLvl w:val="2"/>
        <w:rPr>
          <w:rFonts w:hint="eastAsia" w:ascii="仿宋_GB2312"/>
          <w:szCs w:val="32"/>
        </w:rPr>
      </w:pPr>
      <w:bookmarkStart w:id="28" w:name="_Toc21985"/>
      <w:r>
        <w:rPr>
          <w:rFonts w:hint="eastAsia" w:ascii="仿宋_GB2312"/>
          <w:b/>
          <w:szCs w:val="32"/>
        </w:rPr>
        <w:t>（三）国有资产占用情况说明</w:t>
      </w:r>
      <w:bookmarkEnd w:id="28"/>
    </w:p>
    <w:p>
      <w:pPr>
        <w:spacing w:line="580" w:lineRule="exact"/>
        <w:ind w:firstLine="640"/>
        <w:rPr>
          <w:rFonts w:hint="eastAsia" w:ascii="仿宋_GB2312"/>
          <w:szCs w:val="32"/>
        </w:rPr>
      </w:pPr>
      <w:r>
        <w:rPr>
          <w:rFonts w:hint="eastAsia" w:ascii="仿宋_GB2312"/>
          <w:szCs w:val="32"/>
        </w:rPr>
        <w:t>截至2021年12月31日，本单位无车辆。</w:t>
      </w:r>
    </w:p>
    <w:p>
      <w:pPr>
        <w:numPr>
          <w:ilvl w:val="0"/>
          <w:numId w:val="1"/>
        </w:numPr>
        <w:ind w:firstLine="643"/>
        <w:outlineLvl w:val="2"/>
        <w:rPr>
          <w:rFonts w:hint="eastAsia" w:ascii="仿宋_GB2312"/>
          <w:b/>
          <w:szCs w:val="32"/>
        </w:rPr>
      </w:pPr>
      <w:bookmarkStart w:id="29" w:name="_Toc25974"/>
      <w:r>
        <w:rPr>
          <w:rFonts w:hint="eastAsia" w:ascii="仿宋_GB2312"/>
          <w:b/>
          <w:szCs w:val="32"/>
        </w:rPr>
        <w:t>预算绩效情况说明</w:t>
      </w:r>
      <w:bookmarkEnd w:id="29"/>
    </w:p>
    <w:p>
      <w:pPr>
        <w:numPr>
          <w:ilvl w:val="0"/>
          <w:numId w:val="2"/>
        </w:numPr>
        <w:spacing w:line="580" w:lineRule="exact"/>
        <w:ind w:firstLine="640"/>
        <w:rPr>
          <w:rFonts w:hint="eastAsia" w:ascii="仿宋_GB2312"/>
          <w:szCs w:val="32"/>
        </w:rPr>
      </w:pPr>
      <w:r>
        <w:rPr>
          <w:rFonts w:hint="eastAsia" w:ascii="仿宋_GB2312"/>
          <w:szCs w:val="32"/>
        </w:rPr>
        <w:t xml:space="preserve">绩效管理评价工作开展情况。根据预算绩效管理要求，我单位组织对2021年度部门预算项目支出中其他运转类项目和特定目标类项目全面开展绩效自评。其中，二级项目 </w:t>
      </w:r>
      <w:r>
        <w:rPr>
          <w:rFonts w:hint="eastAsia" w:ascii="仿宋_GB2312"/>
          <w:szCs w:val="32"/>
          <w:lang w:val="en-US" w:eastAsia="zh-CN"/>
        </w:rPr>
        <w:t>1</w:t>
      </w:r>
      <w:r>
        <w:rPr>
          <w:rFonts w:hint="eastAsia" w:ascii="仿宋_GB2312"/>
          <w:szCs w:val="32"/>
        </w:rPr>
        <w:t xml:space="preserve"> 个，共涉及资金</w:t>
      </w:r>
      <w:r>
        <w:rPr>
          <w:rFonts w:hint="eastAsia" w:ascii="仿宋_GB2312"/>
          <w:szCs w:val="32"/>
          <w:lang w:val="en-US" w:eastAsia="zh-CN"/>
        </w:rPr>
        <w:t>1.49</w:t>
      </w:r>
      <w:r>
        <w:rPr>
          <w:rFonts w:hint="eastAsia" w:ascii="仿宋_GB2312"/>
          <w:szCs w:val="32"/>
        </w:rPr>
        <w:t xml:space="preserve"> 万元，占一般公共预算项目支出总额的 </w:t>
      </w:r>
      <w:r>
        <w:rPr>
          <w:rFonts w:hint="eastAsia" w:ascii="仿宋_GB2312"/>
          <w:szCs w:val="32"/>
          <w:lang w:val="en-US" w:eastAsia="zh-CN"/>
        </w:rPr>
        <w:t>1.03</w:t>
      </w:r>
      <w:r>
        <w:rPr>
          <w:rFonts w:hint="eastAsia" w:ascii="仿宋_GB2312"/>
          <w:szCs w:val="32"/>
        </w:rPr>
        <w:t>%。</w:t>
      </w:r>
    </w:p>
    <w:p>
      <w:pPr>
        <w:spacing w:line="580" w:lineRule="exact"/>
        <w:ind w:firstLine="640"/>
        <w:rPr>
          <w:rFonts w:hint="eastAsia" w:ascii="仿宋_GB2312" w:hAnsi="Times New Roman" w:cs="Times New Roman"/>
          <w:szCs w:val="32"/>
        </w:rPr>
      </w:pPr>
      <w:r>
        <w:rPr>
          <w:rFonts w:hint="eastAsia" w:ascii="仿宋_GB2312"/>
          <w:szCs w:val="32"/>
        </w:rPr>
        <w:t>组织对“</w:t>
      </w:r>
      <w:r>
        <w:rPr>
          <w:rFonts w:hint="eastAsia" w:ascii="仿宋_GB2312" w:hAnsi="Times New Roman" w:cs="Times New Roman"/>
          <w:szCs w:val="32"/>
        </w:rPr>
        <w:t>农民培训费用”“退休人员职业年金做实部分”等 2个项目开展了部门评价，涉及一般公共预算支出 11.04万元，</w:t>
      </w:r>
    </w:p>
    <w:p>
      <w:pPr>
        <w:spacing w:line="580" w:lineRule="exact"/>
        <w:ind w:left="0" w:leftChars="0" w:firstLine="0" w:firstLineChars="0"/>
        <w:rPr>
          <w:rFonts w:hint="eastAsia" w:ascii="仿宋_GB2312" w:hAnsi="Times New Roman" w:cs="Times New Roman"/>
          <w:szCs w:val="32"/>
        </w:rPr>
      </w:pPr>
      <w:r>
        <w:rPr>
          <w:rFonts w:hint="eastAsia" w:ascii="仿宋_GB2312" w:hAnsi="Times New Roman" w:cs="Times New Roman"/>
          <w:szCs w:val="32"/>
          <w:lang w:val="en-US" w:eastAsia="zh-CN"/>
        </w:rPr>
        <w:t>我单位</w:t>
      </w:r>
      <w:r>
        <w:rPr>
          <w:rFonts w:hint="eastAsia" w:ascii="仿宋_GB2312" w:hAnsi="Times New Roman" w:cs="Times New Roman"/>
          <w:szCs w:val="32"/>
        </w:rPr>
        <w:t>结合年初制定的《襄汾县财政项目支出绩效目标申报表》相关要求，</w:t>
      </w:r>
      <w:r>
        <w:rPr>
          <w:rFonts w:hint="eastAsia" w:ascii="仿宋_GB2312" w:hAnsi="Times New Roman" w:cs="Times New Roman"/>
          <w:szCs w:val="32"/>
          <w:lang w:val="en-US" w:eastAsia="zh-CN"/>
        </w:rPr>
        <w:t>由于事业单位机构改革，7月份单位进行了合并，</w:t>
      </w:r>
      <w:r>
        <w:rPr>
          <w:rFonts w:hint="eastAsia" w:ascii="仿宋_GB2312" w:hAnsi="Times New Roman" w:cs="Times New Roman"/>
          <w:szCs w:val="32"/>
        </w:rPr>
        <w:t>农民培训费用</w:t>
      </w:r>
      <w:r>
        <w:rPr>
          <w:rFonts w:hint="eastAsia" w:ascii="仿宋_GB2312" w:hAnsi="Times New Roman" w:cs="Times New Roman"/>
          <w:szCs w:val="32"/>
          <w:lang w:val="en-US" w:eastAsia="zh-CN"/>
        </w:rPr>
        <w:t>决算支出1.</w:t>
      </w:r>
      <w:r>
        <w:rPr>
          <w:rFonts w:hint="eastAsia" w:ascii="仿宋_GB2312" w:cs="Times New Roman"/>
          <w:szCs w:val="32"/>
          <w:lang w:val="en-US" w:eastAsia="zh-CN"/>
        </w:rPr>
        <w:t>4</w:t>
      </w:r>
      <w:r>
        <w:rPr>
          <w:rFonts w:hint="eastAsia" w:ascii="仿宋_GB2312" w:hAnsi="Times New Roman" w:cs="Times New Roman"/>
          <w:szCs w:val="32"/>
          <w:lang w:val="en-US" w:eastAsia="zh-CN"/>
        </w:rPr>
        <w:t>9万元，退休人员职业年纪做实部分9.55万元全部支出，基本</w:t>
      </w:r>
      <w:r>
        <w:rPr>
          <w:rFonts w:hint="eastAsia" w:ascii="仿宋_GB2312" w:hAnsi="Times New Roman" w:cs="Times New Roman"/>
          <w:szCs w:val="32"/>
        </w:rPr>
        <w:t>完成了全年绩效指标任务</w:t>
      </w:r>
      <w:r>
        <w:rPr>
          <w:rFonts w:hint="eastAsia" w:ascii="仿宋_GB2312" w:hAnsi="Times New Roman" w:cs="Times New Roman"/>
          <w:szCs w:val="32"/>
          <w:lang w:eastAsia="zh-CN"/>
        </w:rPr>
        <w:t>。</w:t>
      </w:r>
    </w:p>
    <w:p>
      <w:pPr>
        <w:spacing w:line="580" w:lineRule="exact"/>
        <w:ind w:firstLine="640"/>
        <w:rPr>
          <w:rFonts w:hint="eastAsia" w:ascii="仿宋_GB2312" w:eastAsia="仿宋_GB2312"/>
          <w:szCs w:val="32"/>
          <w:lang w:eastAsia="zh-CN"/>
        </w:rPr>
      </w:pPr>
      <w:r>
        <w:rPr>
          <w:rFonts w:hint="eastAsia" w:ascii="仿宋_GB2312"/>
          <w:szCs w:val="32"/>
        </w:rPr>
        <w:t>(2)</w:t>
      </w:r>
      <w:r>
        <w:rPr>
          <w:rFonts w:hint="eastAsia" w:ascii="仿宋_GB2312"/>
          <w:szCs w:val="32"/>
          <w:lang w:val="en-US" w:eastAsia="zh-CN"/>
        </w:rPr>
        <w:t>农民培训费用</w:t>
      </w:r>
      <w:r>
        <w:rPr>
          <w:rFonts w:hint="eastAsia" w:ascii="仿宋_GB2312"/>
          <w:szCs w:val="32"/>
        </w:rPr>
        <w:t>项目绩效自评综述：根据年初设定的绩效目标，项目绩效自评得分为</w:t>
      </w:r>
      <w:r>
        <w:rPr>
          <w:rFonts w:hint="eastAsia" w:ascii="仿宋_GB2312"/>
          <w:szCs w:val="32"/>
          <w:lang w:val="en-US" w:eastAsia="zh-CN"/>
        </w:rPr>
        <w:t>85</w:t>
      </w:r>
      <w:r>
        <w:rPr>
          <w:rFonts w:hint="eastAsia" w:ascii="仿宋_GB2312"/>
          <w:szCs w:val="32"/>
        </w:rPr>
        <w:t>分。项目全年预算数为</w:t>
      </w:r>
      <w:r>
        <w:rPr>
          <w:rFonts w:hint="eastAsia" w:ascii="仿宋_GB2312"/>
          <w:szCs w:val="32"/>
          <w:lang w:val="en-US" w:eastAsia="zh-CN"/>
        </w:rPr>
        <w:t>3</w:t>
      </w:r>
      <w:r>
        <w:rPr>
          <w:rFonts w:hint="eastAsia" w:ascii="仿宋_GB2312"/>
          <w:szCs w:val="32"/>
        </w:rPr>
        <w:t xml:space="preserve">万元，执行数为 </w:t>
      </w:r>
      <w:r>
        <w:rPr>
          <w:rFonts w:hint="eastAsia" w:ascii="仿宋_GB2312"/>
          <w:szCs w:val="32"/>
          <w:lang w:val="en-US" w:eastAsia="zh-CN"/>
        </w:rPr>
        <w:t>1.49</w:t>
      </w:r>
      <w:r>
        <w:rPr>
          <w:rFonts w:hint="eastAsia" w:ascii="仿宋_GB2312"/>
          <w:szCs w:val="32"/>
        </w:rPr>
        <w:t>万元，完成预算的</w:t>
      </w:r>
      <w:r>
        <w:rPr>
          <w:rFonts w:hint="eastAsia" w:ascii="仿宋_GB2312"/>
          <w:szCs w:val="32"/>
          <w:lang w:val="en-US" w:eastAsia="zh-CN"/>
        </w:rPr>
        <w:t>49.67</w:t>
      </w:r>
      <w:r>
        <w:rPr>
          <w:rFonts w:hint="eastAsia" w:ascii="仿宋_GB2312"/>
          <w:szCs w:val="32"/>
        </w:rPr>
        <w:t>%。项目绩效目标完成情况：一</w:t>
      </w:r>
      <w:r>
        <w:rPr>
          <w:rFonts w:hint="eastAsia" w:ascii="仿宋_GB2312"/>
          <w:szCs w:val="32"/>
          <w:lang w:val="en-US" w:eastAsia="zh-CN"/>
        </w:rPr>
        <w:t>是农民培训费用项目基本完成；</w:t>
      </w:r>
      <w:r>
        <w:rPr>
          <w:rFonts w:hint="eastAsia" w:ascii="仿宋_GB2312"/>
          <w:szCs w:val="32"/>
        </w:rPr>
        <w:t xml:space="preserve"> 二是</w:t>
      </w:r>
      <w:r>
        <w:rPr>
          <w:rFonts w:hint="eastAsia" w:ascii="仿宋_GB2312" w:hAnsi="Times New Roman" w:cs="Times New Roman"/>
          <w:szCs w:val="32"/>
        </w:rPr>
        <w:t>退休人员职业年金做实部分</w:t>
      </w:r>
      <w:r>
        <w:rPr>
          <w:rFonts w:hint="eastAsia" w:ascii="仿宋_GB2312" w:hAnsi="Times New Roman" w:cs="Times New Roman"/>
          <w:szCs w:val="32"/>
          <w:lang w:val="en-US" w:eastAsia="zh-CN"/>
        </w:rPr>
        <w:t>全部完成</w:t>
      </w:r>
      <w:r>
        <w:rPr>
          <w:rFonts w:hint="eastAsia" w:ascii="仿宋_GB2312"/>
          <w:szCs w:val="32"/>
        </w:rPr>
        <w:t xml:space="preserve"> 。发现的主要问题及原因：一是</w:t>
      </w:r>
      <w:r>
        <w:rPr>
          <w:rFonts w:hint="eastAsia" w:ascii="仿宋_GB2312"/>
          <w:szCs w:val="32"/>
          <w:lang w:val="en-US" w:eastAsia="zh-CN"/>
        </w:rPr>
        <w:t>事业单位机构改革7月份单位合并，年初预算项目剩余资金退回</w:t>
      </w:r>
      <w:r>
        <w:rPr>
          <w:rFonts w:hint="eastAsia" w:ascii="仿宋_GB2312"/>
          <w:szCs w:val="32"/>
        </w:rPr>
        <w:t xml:space="preserve"> </w:t>
      </w:r>
      <w:r>
        <w:rPr>
          <w:rFonts w:hint="eastAsia" w:ascii="仿宋_GB2312"/>
          <w:szCs w:val="32"/>
          <w:lang w:eastAsia="zh-CN"/>
        </w:rPr>
        <w:t>。</w:t>
      </w:r>
    </w:p>
    <w:p>
      <w:pPr>
        <w:spacing w:line="580" w:lineRule="exact"/>
        <w:ind w:left="0" w:leftChars="0" w:firstLine="640" w:firstLineChars="200"/>
        <w:outlineLvl w:val="9"/>
        <w:rPr>
          <w:rFonts w:hint="eastAsia" w:ascii="仿宋_GB2312"/>
          <w:color w:val="auto"/>
          <w:szCs w:val="32"/>
          <w:highlight w:val="none"/>
        </w:rPr>
      </w:pPr>
      <w:r>
        <w:rPr>
          <w:rFonts w:hint="eastAsia" w:ascii="仿宋_GB2312"/>
          <w:szCs w:val="32"/>
          <w:lang w:val="en-US" w:eastAsia="zh-CN"/>
        </w:rPr>
        <w:t>农民培训费用</w:t>
      </w:r>
      <w:r>
        <w:rPr>
          <w:rFonts w:hint="eastAsia" w:ascii="仿宋_GB2312"/>
          <w:szCs w:val="32"/>
        </w:rPr>
        <w:t>项目绩效自评综述：</w:t>
      </w:r>
      <w:r>
        <w:rPr>
          <w:rFonts w:hint="eastAsia" w:ascii="仿宋_GB2312"/>
          <w:color w:val="auto"/>
          <w:szCs w:val="32"/>
          <w:highlight w:val="none"/>
        </w:rPr>
        <w:t>1.数量指标：开展新型职业农民培训人员50人，我单位202</w:t>
      </w:r>
      <w:r>
        <w:rPr>
          <w:rFonts w:hint="eastAsia" w:ascii="仿宋_GB2312"/>
          <w:color w:val="auto"/>
          <w:szCs w:val="32"/>
          <w:highlight w:val="none"/>
          <w:lang w:val="en-US" w:eastAsia="zh-CN"/>
        </w:rPr>
        <w:t>1</w:t>
      </w:r>
      <w:r>
        <w:rPr>
          <w:rFonts w:hint="eastAsia" w:ascii="仿宋_GB2312"/>
          <w:color w:val="auto"/>
          <w:szCs w:val="32"/>
          <w:highlight w:val="none"/>
        </w:rPr>
        <w:t>年培训了</w:t>
      </w:r>
      <w:r>
        <w:rPr>
          <w:rFonts w:hint="eastAsia" w:ascii="仿宋_GB2312"/>
          <w:color w:val="auto"/>
          <w:szCs w:val="32"/>
          <w:highlight w:val="none"/>
          <w:lang w:val="en-US" w:eastAsia="zh-CN"/>
        </w:rPr>
        <w:t>35</w:t>
      </w:r>
      <w:r>
        <w:rPr>
          <w:rFonts w:hint="eastAsia" w:ascii="仿宋_GB2312"/>
          <w:color w:val="auto"/>
          <w:szCs w:val="32"/>
          <w:highlight w:val="none"/>
        </w:rPr>
        <w:t>人，完成成年初计划的</w:t>
      </w:r>
      <w:r>
        <w:rPr>
          <w:rFonts w:hint="eastAsia" w:ascii="仿宋_GB2312"/>
          <w:color w:val="auto"/>
          <w:szCs w:val="32"/>
          <w:highlight w:val="none"/>
          <w:lang w:val="en-US" w:eastAsia="zh-CN"/>
        </w:rPr>
        <w:t>70</w:t>
      </w:r>
      <w:r>
        <w:rPr>
          <w:rFonts w:hint="eastAsia" w:ascii="仿宋_GB2312"/>
          <w:color w:val="auto"/>
          <w:szCs w:val="32"/>
          <w:highlight w:val="none"/>
        </w:rPr>
        <w:t>%；2.质量指标：培训合格率100%；3.时效指标：202</w:t>
      </w:r>
      <w:r>
        <w:rPr>
          <w:rFonts w:hint="eastAsia" w:ascii="仿宋_GB2312"/>
          <w:color w:val="auto"/>
          <w:szCs w:val="32"/>
          <w:highlight w:val="none"/>
          <w:lang w:val="en-US" w:eastAsia="zh-CN"/>
        </w:rPr>
        <w:t>1</w:t>
      </w:r>
      <w:r>
        <w:rPr>
          <w:rFonts w:hint="eastAsia" w:ascii="仿宋_GB2312"/>
          <w:color w:val="auto"/>
          <w:szCs w:val="32"/>
          <w:highlight w:val="none"/>
        </w:rPr>
        <w:t>年年底前完成率100%；4.社会效益指标：受训学员素质得到提高；5.服务对象满意度指标：农民满意度不断提高。我单位</w:t>
      </w:r>
      <w:r>
        <w:rPr>
          <w:rFonts w:hint="eastAsia" w:ascii="仿宋_GB2312"/>
          <w:color w:val="auto"/>
          <w:szCs w:val="32"/>
          <w:highlight w:val="none"/>
          <w:lang w:val="en-US" w:eastAsia="zh-CN"/>
        </w:rPr>
        <w:t>基本</w:t>
      </w:r>
      <w:r>
        <w:rPr>
          <w:rFonts w:hint="eastAsia" w:ascii="仿宋_GB2312"/>
          <w:color w:val="auto"/>
          <w:szCs w:val="32"/>
          <w:highlight w:val="none"/>
        </w:rPr>
        <w:t>完成202</w:t>
      </w:r>
      <w:r>
        <w:rPr>
          <w:rFonts w:hint="eastAsia" w:ascii="仿宋_GB2312"/>
          <w:color w:val="auto"/>
          <w:szCs w:val="32"/>
          <w:highlight w:val="none"/>
          <w:lang w:val="en-US" w:eastAsia="zh-CN"/>
        </w:rPr>
        <w:t>1</w:t>
      </w:r>
      <w:r>
        <w:rPr>
          <w:rFonts w:hint="eastAsia" w:ascii="仿宋_GB2312"/>
          <w:color w:val="auto"/>
          <w:szCs w:val="32"/>
          <w:highlight w:val="none"/>
        </w:rPr>
        <w:t>年度主要计划任务。</w:t>
      </w:r>
    </w:p>
    <w:p>
      <w:pPr>
        <w:pStyle w:val="2"/>
        <w:rPr>
          <w:rFonts w:hint="eastAsia"/>
        </w:rPr>
      </w:pPr>
    </w:p>
    <w:p>
      <w:pPr>
        <w:spacing w:line="580" w:lineRule="exact"/>
        <w:ind w:firstLine="675" w:firstLineChars="210"/>
        <w:outlineLvl w:val="2"/>
        <w:rPr>
          <w:rFonts w:hint="eastAsia" w:ascii="仿宋_GB2312"/>
          <w:b/>
          <w:szCs w:val="32"/>
        </w:rPr>
      </w:pPr>
      <w:bookmarkStart w:id="30" w:name="_Toc11125"/>
      <w:r>
        <w:rPr>
          <w:rFonts w:hint="eastAsia" w:ascii="仿宋_GB2312"/>
          <w:b/>
          <w:szCs w:val="32"/>
        </w:rPr>
        <w:t>（五）其他需要说明的事项</w:t>
      </w:r>
      <w:bookmarkEnd w:id="30"/>
    </w:p>
    <w:p>
      <w:pPr>
        <w:ind w:firstLine="640"/>
        <w:outlineLvl w:val="0"/>
        <w:rPr>
          <w:rFonts w:hint="eastAsia" w:ascii="黑体" w:hAnsi="黑体" w:eastAsia="黑体"/>
          <w:szCs w:val="32"/>
        </w:rPr>
      </w:pPr>
      <w:bookmarkStart w:id="31" w:name="_Toc7412"/>
      <w:r>
        <w:rPr>
          <w:rFonts w:hint="eastAsia" w:ascii="黑体" w:hAnsi="黑体" w:eastAsia="黑体"/>
          <w:szCs w:val="32"/>
        </w:rPr>
        <w:t>第四部分  名词解释</w:t>
      </w:r>
      <w:bookmarkEnd w:id="31"/>
    </w:p>
    <w:p>
      <w:pPr>
        <w:spacing w:line="580" w:lineRule="exact"/>
        <w:ind w:firstLine="640"/>
        <w:rPr>
          <w:rFonts w:hint="eastAsia"/>
          <w:szCs w:val="32"/>
        </w:rPr>
      </w:pPr>
      <w:r>
        <w:rPr>
          <w:rFonts w:hint="eastAsia"/>
          <w:szCs w:val="32"/>
        </w:rPr>
        <w:t>单位应当按照部门预算管理要求，对本单位涉及的专业名词进行解释。（以下模板仅供参考，以单位实际为准）</w:t>
      </w:r>
    </w:p>
    <w:p>
      <w:pPr>
        <w:numPr>
          <w:ilvl w:val="0"/>
          <w:numId w:val="3"/>
        </w:numPr>
        <w:spacing w:line="580" w:lineRule="exact"/>
        <w:ind w:firstLineChars="0"/>
        <w:rPr>
          <w:rFonts w:hint="eastAsia" w:ascii="仿宋_GB2312"/>
          <w:szCs w:val="32"/>
        </w:rPr>
      </w:pPr>
      <w:r>
        <w:rPr>
          <w:rFonts w:hint="eastAsia" w:ascii="仿宋_GB2312"/>
          <w:b/>
          <w:szCs w:val="32"/>
        </w:rPr>
        <w:t>财政拨款收入：</w:t>
      </w:r>
      <w:r>
        <w:rPr>
          <w:rFonts w:hint="eastAsia" w:ascii="仿宋_GB2312"/>
          <w:szCs w:val="32"/>
        </w:rPr>
        <w:t>指单位从同级财政部门取得的财政预</w:t>
      </w:r>
    </w:p>
    <w:p>
      <w:pPr>
        <w:spacing w:line="580" w:lineRule="exact"/>
        <w:ind w:firstLineChars="0"/>
        <w:rPr>
          <w:rFonts w:hint="eastAsia" w:ascii="仿宋_GB2312"/>
          <w:szCs w:val="32"/>
        </w:rPr>
      </w:pPr>
      <w:r>
        <w:rPr>
          <w:rFonts w:hint="eastAsia" w:ascii="仿宋_GB2312"/>
          <w:szCs w:val="32"/>
        </w:rPr>
        <w:t>算资金。</w:t>
      </w:r>
    </w:p>
    <w:p>
      <w:pPr>
        <w:numPr>
          <w:ilvl w:val="0"/>
          <w:numId w:val="3"/>
        </w:numPr>
        <w:spacing w:line="580" w:lineRule="exact"/>
        <w:ind w:firstLineChars="0"/>
        <w:rPr>
          <w:rFonts w:hint="eastAsia" w:ascii="仿宋_GB2312"/>
          <w:szCs w:val="32"/>
        </w:rPr>
      </w:pPr>
      <w:r>
        <w:rPr>
          <w:rFonts w:hint="eastAsia" w:ascii="仿宋_GB2312"/>
          <w:b/>
          <w:szCs w:val="32"/>
        </w:rPr>
        <w:t>事业收入：</w:t>
      </w:r>
      <w:r>
        <w:rPr>
          <w:rFonts w:hint="eastAsia" w:ascii="仿宋_GB2312"/>
          <w:szCs w:val="32"/>
        </w:rPr>
        <w:t>指事业单位开展专业业务活动及辅助活动</w:t>
      </w:r>
    </w:p>
    <w:p>
      <w:pPr>
        <w:spacing w:line="580" w:lineRule="exact"/>
        <w:ind w:firstLineChars="0"/>
        <w:rPr>
          <w:rFonts w:hint="eastAsia" w:ascii="仿宋_GB2312"/>
          <w:szCs w:val="32"/>
        </w:rPr>
      </w:pPr>
      <w:r>
        <w:rPr>
          <w:rFonts w:hint="eastAsia" w:ascii="仿宋_GB2312"/>
          <w:szCs w:val="32"/>
        </w:rPr>
        <w:t>取得的收入。</w:t>
      </w:r>
    </w:p>
    <w:p>
      <w:pPr>
        <w:numPr>
          <w:ilvl w:val="0"/>
          <w:numId w:val="3"/>
        </w:numPr>
        <w:spacing w:line="580" w:lineRule="exact"/>
        <w:ind w:firstLineChars="0"/>
        <w:rPr>
          <w:rFonts w:hint="eastAsia" w:ascii="仿宋_GB2312"/>
          <w:szCs w:val="32"/>
        </w:rPr>
      </w:pPr>
      <w:r>
        <w:rPr>
          <w:rFonts w:hint="eastAsia" w:ascii="仿宋_GB2312"/>
          <w:b/>
          <w:szCs w:val="32"/>
        </w:rPr>
        <w:t>经营收入：</w:t>
      </w:r>
      <w:r>
        <w:rPr>
          <w:rFonts w:hint="eastAsia" w:ascii="仿宋_GB2312"/>
          <w:szCs w:val="32"/>
        </w:rPr>
        <w:t>指事业单位在专业业务活动及其辅助活动</w:t>
      </w:r>
    </w:p>
    <w:p>
      <w:pPr>
        <w:spacing w:line="580" w:lineRule="exact"/>
        <w:ind w:firstLineChars="0"/>
        <w:rPr>
          <w:rFonts w:hint="eastAsia" w:ascii="仿宋_GB2312"/>
          <w:szCs w:val="32"/>
        </w:rPr>
      </w:pPr>
      <w:r>
        <w:rPr>
          <w:rFonts w:hint="eastAsia" w:ascii="仿宋_GB2312"/>
          <w:szCs w:val="32"/>
        </w:rPr>
        <w:t>之外开展非独立核算经营活动取得的收入。</w:t>
      </w:r>
    </w:p>
    <w:p>
      <w:pPr>
        <w:numPr>
          <w:ilvl w:val="0"/>
          <w:numId w:val="3"/>
        </w:numPr>
        <w:spacing w:line="580" w:lineRule="exact"/>
        <w:ind w:firstLineChars="0"/>
        <w:rPr>
          <w:rFonts w:hint="eastAsia" w:ascii="仿宋_GB2312"/>
          <w:szCs w:val="32"/>
        </w:rPr>
      </w:pPr>
      <w:r>
        <w:rPr>
          <w:rFonts w:hint="eastAsia" w:ascii="仿宋_GB2312"/>
          <w:b/>
          <w:szCs w:val="32"/>
        </w:rPr>
        <w:t>其他收入：</w:t>
      </w:r>
      <w:r>
        <w:rPr>
          <w:rFonts w:hint="eastAsia" w:ascii="仿宋_GB2312"/>
          <w:szCs w:val="32"/>
        </w:rPr>
        <w:t>指单位取得的除上述收入以外的各项收</w:t>
      </w:r>
    </w:p>
    <w:p>
      <w:pPr>
        <w:spacing w:line="580" w:lineRule="exact"/>
        <w:ind w:firstLineChars="0"/>
        <w:rPr>
          <w:rFonts w:ascii="仿宋_GB2312"/>
          <w:szCs w:val="32"/>
        </w:rPr>
      </w:pPr>
      <w:r>
        <w:rPr>
          <w:rFonts w:hint="eastAsia" w:ascii="仿宋_GB2312"/>
          <w:szCs w:val="32"/>
        </w:rPr>
        <w:t>入。主要是事业单位固定资产出租收入、存款利息收入等。</w:t>
      </w:r>
    </w:p>
    <w:p>
      <w:pPr>
        <w:spacing w:line="580" w:lineRule="exact"/>
        <w:ind w:firstLineChars="0"/>
        <w:rPr>
          <w:rFonts w:hint="eastAsia" w:ascii="仿宋_GB2312"/>
          <w:szCs w:val="32"/>
        </w:rPr>
      </w:pPr>
      <w:r>
        <w:rPr>
          <w:rFonts w:ascii="仿宋_GB2312"/>
          <w:szCs w:val="32"/>
        </w:rPr>
        <w:t xml:space="preserve">   </w:t>
      </w:r>
      <w:r>
        <w:rPr>
          <w:rFonts w:hint="eastAsia" w:ascii="仿宋_GB2312"/>
          <w:b/>
          <w:bCs/>
          <w:szCs w:val="32"/>
        </w:rPr>
        <w:t>五、使用非财政拨款结余：</w:t>
      </w:r>
      <w:r>
        <w:rPr>
          <w:rFonts w:hint="eastAsia" w:ascii="仿宋_GB2312"/>
          <w:szCs w:val="32"/>
        </w:rPr>
        <w:t>指事业单位使用以前年度积累的非财政拨款结余弥补当年收支差额的金额。</w:t>
      </w:r>
    </w:p>
    <w:p>
      <w:pPr>
        <w:numPr>
          <w:ilvl w:val="0"/>
          <w:numId w:val="4"/>
        </w:numPr>
        <w:spacing w:line="580" w:lineRule="exact"/>
        <w:ind w:firstLineChars="0"/>
        <w:rPr>
          <w:rFonts w:hint="eastAsia" w:ascii="仿宋_GB2312"/>
          <w:szCs w:val="32"/>
        </w:rPr>
      </w:pPr>
      <w:r>
        <w:rPr>
          <w:rFonts w:hint="eastAsia" w:ascii="仿宋_GB2312"/>
          <w:b/>
          <w:szCs w:val="32"/>
        </w:rPr>
        <w:t>年初结转和结余：</w:t>
      </w:r>
      <w:r>
        <w:rPr>
          <w:rFonts w:hint="eastAsia" w:ascii="仿宋_GB2312"/>
          <w:szCs w:val="32"/>
        </w:rPr>
        <w:t>指单位以前年度尚未完成、结转到</w:t>
      </w:r>
    </w:p>
    <w:p>
      <w:pPr>
        <w:spacing w:line="580" w:lineRule="exact"/>
        <w:ind w:firstLineChars="0"/>
        <w:rPr>
          <w:rFonts w:ascii="仿宋_GB2312"/>
          <w:szCs w:val="32"/>
        </w:rPr>
      </w:pPr>
      <w:r>
        <w:rPr>
          <w:rFonts w:hint="eastAsia" w:ascii="仿宋_GB2312"/>
          <w:szCs w:val="32"/>
        </w:rPr>
        <w:t>本年仍按原规定用途继续使用的资金，或项目已完成等产生的结余资金。</w:t>
      </w:r>
    </w:p>
    <w:p>
      <w:pPr>
        <w:numPr>
          <w:ilvl w:val="0"/>
          <w:numId w:val="4"/>
        </w:numPr>
        <w:spacing w:line="580" w:lineRule="exact"/>
        <w:ind w:firstLineChars="0"/>
        <w:rPr>
          <w:rFonts w:ascii="仿宋_GB2312"/>
          <w:szCs w:val="32"/>
        </w:rPr>
      </w:pPr>
      <w:r>
        <w:rPr>
          <w:rFonts w:hint="eastAsia" w:ascii="仿宋_GB2312"/>
          <w:b/>
          <w:bCs/>
          <w:szCs w:val="32"/>
        </w:rPr>
        <w:t>结余分配：</w:t>
      </w:r>
      <w:r>
        <w:rPr>
          <w:rFonts w:hint="eastAsia" w:ascii="仿宋_GB2312"/>
          <w:szCs w:val="32"/>
        </w:rPr>
        <w:t>指事业单位按照会计制度规定缴纳的所得</w:t>
      </w:r>
    </w:p>
    <w:p>
      <w:pPr>
        <w:spacing w:line="580" w:lineRule="exact"/>
        <w:ind w:firstLine="0" w:firstLineChars="0"/>
        <w:rPr>
          <w:rFonts w:ascii="仿宋_GB2312"/>
          <w:szCs w:val="32"/>
        </w:rPr>
      </w:pPr>
      <w:r>
        <w:rPr>
          <w:rFonts w:hint="eastAsia" w:ascii="仿宋_GB2312"/>
          <w:szCs w:val="32"/>
        </w:rPr>
        <w:t>税、提取的专用结余以及转入非财政拨款结余的金额等。</w:t>
      </w:r>
    </w:p>
    <w:p>
      <w:pPr>
        <w:numPr>
          <w:ilvl w:val="0"/>
          <w:numId w:val="4"/>
        </w:numPr>
        <w:spacing w:line="580" w:lineRule="exact"/>
        <w:ind w:firstLineChars="0"/>
        <w:rPr>
          <w:rFonts w:ascii="仿宋_GB2312"/>
          <w:szCs w:val="32"/>
        </w:rPr>
      </w:pPr>
      <w:r>
        <w:rPr>
          <w:rFonts w:hint="eastAsia" w:ascii="仿宋_GB2312"/>
          <w:szCs w:val="32"/>
        </w:rPr>
        <w:t>年末结转和结余：指单位按有关规定结转到下年或以</w:t>
      </w:r>
    </w:p>
    <w:p>
      <w:pPr>
        <w:spacing w:line="580" w:lineRule="exact"/>
        <w:ind w:firstLine="0" w:firstLineChars="0"/>
        <w:rPr>
          <w:rFonts w:hint="eastAsia" w:ascii="仿宋_GB2312"/>
          <w:szCs w:val="32"/>
        </w:rPr>
      </w:pPr>
      <w:r>
        <w:rPr>
          <w:rFonts w:hint="eastAsia" w:ascii="仿宋_GB2312"/>
          <w:szCs w:val="32"/>
        </w:rPr>
        <w:t>后年度继续使用的资金，或项目已完成等产生的结余资金。</w:t>
      </w:r>
    </w:p>
    <w:p>
      <w:pPr>
        <w:numPr>
          <w:ilvl w:val="0"/>
          <w:numId w:val="4"/>
        </w:numPr>
        <w:spacing w:line="580" w:lineRule="exact"/>
        <w:ind w:firstLineChars="0"/>
        <w:rPr>
          <w:rFonts w:hint="eastAsia" w:ascii="仿宋_GB2312"/>
          <w:b/>
          <w:szCs w:val="32"/>
        </w:rPr>
      </w:pPr>
      <w:r>
        <w:rPr>
          <w:rFonts w:hint="eastAsia" w:ascii="仿宋_GB2312"/>
          <w:b/>
          <w:szCs w:val="32"/>
        </w:rPr>
        <w:t>基本支出：</w:t>
      </w:r>
      <w:r>
        <w:rPr>
          <w:rFonts w:hint="eastAsia" w:ascii="仿宋_GB2312"/>
          <w:szCs w:val="32"/>
        </w:rPr>
        <w:t>指为保障机构正常运转、完成日常工作任</w:t>
      </w:r>
    </w:p>
    <w:p>
      <w:pPr>
        <w:spacing w:line="580" w:lineRule="exact"/>
        <w:ind w:firstLineChars="0"/>
        <w:rPr>
          <w:rFonts w:ascii="仿宋_GB2312"/>
          <w:b/>
          <w:szCs w:val="32"/>
        </w:rPr>
      </w:pPr>
      <w:r>
        <w:rPr>
          <w:rFonts w:hint="eastAsia" w:ascii="仿宋_GB2312"/>
          <w:szCs w:val="32"/>
        </w:rPr>
        <w:t>务而发生的人员支出和公用支出。</w:t>
      </w:r>
    </w:p>
    <w:p>
      <w:pPr>
        <w:autoSpaceDE w:val="0"/>
        <w:autoSpaceDN w:val="0"/>
        <w:adjustRightInd w:val="0"/>
        <w:ind w:firstLine="630" w:firstLineChars="196"/>
        <w:rPr>
          <w:rFonts w:ascii="仿宋_GB2312"/>
          <w:szCs w:val="32"/>
        </w:rPr>
      </w:pPr>
      <w:r>
        <w:rPr>
          <w:rFonts w:hint="eastAsia" w:ascii="仿宋_GB2312"/>
          <w:b/>
          <w:szCs w:val="32"/>
        </w:rPr>
        <w:t>七、项目支出：</w:t>
      </w:r>
      <w:r>
        <w:rPr>
          <w:rFonts w:hint="eastAsia" w:ascii="仿宋_GB2312"/>
          <w:szCs w:val="32"/>
        </w:rPr>
        <w:t>指在基本支出之外为完成特定行政任务和事业发展目标所发生的支出。</w:t>
      </w:r>
    </w:p>
    <w:p>
      <w:pPr>
        <w:autoSpaceDE w:val="0"/>
        <w:autoSpaceDN w:val="0"/>
        <w:adjustRightInd w:val="0"/>
        <w:ind w:firstLine="630" w:firstLineChars="196"/>
        <w:rPr>
          <w:rFonts w:ascii="仿宋_GB2312"/>
          <w:szCs w:val="32"/>
        </w:rPr>
      </w:pPr>
      <w:r>
        <w:rPr>
          <w:rFonts w:hint="eastAsia" w:ascii="仿宋_GB2312"/>
          <w:b/>
          <w:szCs w:val="32"/>
        </w:rPr>
        <w:t>八、“三公”经费：</w:t>
      </w:r>
      <w:r>
        <w:rPr>
          <w:rFonts w:hint="eastAsia" w:ascii="仿宋_GB2312"/>
          <w:szCs w:val="32"/>
        </w:rPr>
        <w:t>指省直部门用一般公共预算安排的因公出国（境）费、公务用车购置及运行费和公务接待费。其中，因公出国（境）费反映单位公务出国（境）的国际旅费、国外城市间交通费、住宿费、伙食费、培训费、公杂费等支出；公务用车购置费反映公务用车车辆购置支出（含车辆购置税）；公务用车运行维护费反映单位按规定保留的公务用车燃料费、维修费、过路过桥费、保险费、安全奖励费用等支出；公务接待费反映单位按规定开支的各类公务接待（含外宾接待）支出。</w:t>
      </w:r>
    </w:p>
    <w:p>
      <w:pPr>
        <w:autoSpaceDE w:val="0"/>
        <w:autoSpaceDN w:val="0"/>
        <w:adjustRightInd w:val="0"/>
        <w:ind w:firstLine="643"/>
        <w:rPr>
          <w:rFonts w:ascii="仿宋_GB2312"/>
          <w:szCs w:val="32"/>
        </w:rPr>
      </w:pPr>
      <w:r>
        <w:rPr>
          <w:rFonts w:hint="eastAsia" w:ascii="仿宋_GB2312"/>
          <w:b/>
          <w:szCs w:val="32"/>
        </w:rPr>
        <w:t>九、机关运行经费：</w:t>
      </w:r>
      <w:r>
        <w:rPr>
          <w:rFonts w:hint="eastAsia" w:ascii="仿宋_GB2312"/>
          <w:szCs w:val="32"/>
        </w:rPr>
        <w:t>指行政单位和参照公务员法管理的事业单位使用一般公共预算安排的基本支出中的日常公用经费支出。</w:t>
      </w:r>
    </w:p>
    <w:p>
      <w:pPr>
        <w:ind w:firstLine="0" w:firstLineChars="0"/>
      </w:pPr>
      <w:bookmarkStart w:id="32" w:name="_GoBack"/>
      <w:bookmarkEnd w:id="32"/>
    </w:p>
    <w:sectPr>
      <w:footerReference r:id="rId7" w:type="default"/>
      <w:pgSz w:w="12240" w:h="15840"/>
      <w:pgMar w:top="1440" w:right="1800" w:bottom="1440" w:left="1800" w:header="567" w:footer="992" w:gutter="0"/>
      <w:pgNumType w:fmt="decimal" w:start="1"/>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49AF5"/>
    <w:multiLevelType w:val="singleLevel"/>
    <w:tmpl w:val="9B449AF5"/>
    <w:lvl w:ilvl="0" w:tentative="0">
      <w:start w:val="4"/>
      <w:numFmt w:val="chineseCounting"/>
      <w:suff w:val="nothing"/>
      <w:lvlText w:val="（%1）"/>
      <w:lvlJc w:val="left"/>
      <w:rPr>
        <w:rFonts w:hint="eastAsia"/>
      </w:rPr>
    </w:lvl>
  </w:abstractNum>
  <w:abstractNum w:abstractNumId="1">
    <w:nsid w:val="E4F1ECA8"/>
    <w:multiLevelType w:val="singleLevel"/>
    <w:tmpl w:val="E4F1ECA8"/>
    <w:lvl w:ilvl="0" w:tentative="0">
      <w:start w:val="1"/>
      <w:numFmt w:val="decimal"/>
      <w:suff w:val="space"/>
      <w:lvlText w:val="(%1)"/>
      <w:lvlJc w:val="left"/>
    </w:lvl>
  </w:abstractNum>
  <w:abstractNum w:abstractNumId="2">
    <w:nsid w:val="486A544E"/>
    <w:multiLevelType w:val="multilevel"/>
    <w:tmpl w:val="486A544E"/>
    <w:lvl w:ilvl="0" w:tentative="0">
      <w:start w:val="6"/>
      <w:numFmt w:val="japaneseCounting"/>
      <w:lvlText w:val="%1、"/>
      <w:lvlJc w:val="left"/>
      <w:pPr>
        <w:ind w:left="1360" w:hanging="720"/>
      </w:pPr>
      <w:rPr>
        <w:rFonts w:hint="default"/>
        <w:b/>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53D25D65"/>
    <w:multiLevelType w:val="multilevel"/>
    <w:tmpl w:val="53D25D65"/>
    <w:lvl w:ilvl="0" w:tentative="0">
      <w:start w:val="1"/>
      <w:numFmt w:val="japaneseCounting"/>
      <w:lvlText w:val="%1、"/>
      <w:lvlJc w:val="left"/>
      <w:pPr>
        <w:tabs>
          <w:tab w:val="left" w:pos="1395"/>
        </w:tabs>
        <w:ind w:left="1395" w:hanging="720"/>
      </w:pPr>
      <w:rPr>
        <w:rFonts w:hint="default"/>
        <w:b/>
      </w:rPr>
    </w:lvl>
    <w:lvl w:ilvl="1" w:tentative="0">
      <w:start w:val="1"/>
      <w:numFmt w:val="lowerLetter"/>
      <w:lvlText w:val="%2)"/>
      <w:lvlJc w:val="left"/>
      <w:pPr>
        <w:tabs>
          <w:tab w:val="left" w:pos="1515"/>
        </w:tabs>
        <w:ind w:left="1515" w:hanging="420"/>
      </w:pPr>
    </w:lvl>
    <w:lvl w:ilvl="2" w:tentative="0">
      <w:start w:val="1"/>
      <w:numFmt w:val="lowerRoman"/>
      <w:lvlText w:val="%3."/>
      <w:lvlJc w:val="right"/>
      <w:pPr>
        <w:tabs>
          <w:tab w:val="left" w:pos="1935"/>
        </w:tabs>
        <w:ind w:left="1935" w:hanging="420"/>
      </w:pPr>
    </w:lvl>
    <w:lvl w:ilvl="3" w:tentative="0">
      <w:start w:val="1"/>
      <w:numFmt w:val="decimal"/>
      <w:lvlText w:val="%4."/>
      <w:lvlJc w:val="left"/>
      <w:pPr>
        <w:tabs>
          <w:tab w:val="left" w:pos="2355"/>
        </w:tabs>
        <w:ind w:left="2355" w:hanging="420"/>
      </w:pPr>
    </w:lvl>
    <w:lvl w:ilvl="4" w:tentative="0">
      <w:start w:val="1"/>
      <w:numFmt w:val="lowerLetter"/>
      <w:lvlText w:val="%5)"/>
      <w:lvlJc w:val="left"/>
      <w:pPr>
        <w:tabs>
          <w:tab w:val="left" w:pos="2775"/>
        </w:tabs>
        <w:ind w:left="2775" w:hanging="420"/>
      </w:pPr>
    </w:lvl>
    <w:lvl w:ilvl="5" w:tentative="0">
      <w:start w:val="1"/>
      <w:numFmt w:val="lowerRoman"/>
      <w:lvlText w:val="%6."/>
      <w:lvlJc w:val="right"/>
      <w:pPr>
        <w:tabs>
          <w:tab w:val="left" w:pos="3195"/>
        </w:tabs>
        <w:ind w:left="3195" w:hanging="420"/>
      </w:pPr>
    </w:lvl>
    <w:lvl w:ilvl="6" w:tentative="0">
      <w:start w:val="1"/>
      <w:numFmt w:val="decimal"/>
      <w:lvlText w:val="%7."/>
      <w:lvlJc w:val="left"/>
      <w:pPr>
        <w:tabs>
          <w:tab w:val="left" w:pos="3615"/>
        </w:tabs>
        <w:ind w:left="3615" w:hanging="420"/>
      </w:pPr>
    </w:lvl>
    <w:lvl w:ilvl="7" w:tentative="0">
      <w:start w:val="1"/>
      <w:numFmt w:val="lowerLetter"/>
      <w:lvlText w:val="%8)"/>
      <w:lvlJc w:val="left"/>
      <w:pPr>
        <w:tabs>
          <w:tab w:val="left" w:pos="4035"/>
        </w:tabs>
        <w:ind w:left="4035" w:hanging="420"/>
      </w:pPr>
    </w:lvl>
    <w:lvl w:ilvl="8" w:tentative="0">
      <w:start w:val="1"/>
      <w:numFmt w:val="lowerRoman"/>
      <w:lvlText w:val="%9."/>
      <w:lvlJc w:val="right"/>
      <w:pPr>
        <w:tabs>
          <w:tab w:val="left" w:pos="4455"/>
        </w:tabs>
        <w:ind w:left="4455"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60"/>
  <w:drawingGridVerticalSpacing w:val="435"/>
  <w:displayHorizontalDrawingGridEvery w:val="0"/>
  <w:displayVerticalDrawingGridEvery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wMzI3ZGJmZDNmZGE0Mjk4ZjhhNmJjYTg3NWFiMTYifQ=="/>
  </w:docVars>
  <w:rsids>
    <w:rsidRoot w:val="00172A27"/>
    <w:rsid w:val="00007A48"/>
    <w:rsid w:val="0002537E"/>
    <w:rsid w:val="00091BC2"/>
    <w:rsid w:val="000973E6"/>
    <w:rsid w:val="000D51B9"/>
    <w:rsid w:val="000E34E2"/>
    <w:rsid w:val="001021AC"/>
    <w:rsid w:val="001102F9"/>
    <w:rsid w:val="001122B3"/>
    <w:rsid w:val="00123334"/>
    <w:rsid w:val="001440D2"/>
    <w:rsid w:val="001676FC"/>
    <w:rsid w:val="001E08B1"/>
    <w:rsid w:val="001F1905"/>
    <w:rsid w:val="002906A9"/>
    <w:rsid w:val="002A0BC3"/>
    <w:rsid w:val="002A0F44"/>
    <w:rsid w:val="002D2DF7"/>
    <w:rsid w:val="002D51A9"/>
    <w:rsid w:val="002E0C28"/>
    <w:rsid w:val="00331277"/>
    <w:rsid w:val="00397BD9"/>
    <w:rsid w:val="003B30E1"/>
    <w:rsid w:val="003B5EA1"/>
    <w:rsid w:val="003E2587"/>
    <w:rsid w:val="00431034"/>
    <w:rsid w:val="004634E2"/>
    <w:rsid w:val="00493632"/>
    <w:rsid w:val="00493A36"/>
    <w:rsid w:val="004F1052"/>
    <w:rsid w:val="00504C26"/>
    <w:rsid w:val="00535429"/>
    <w:rsid w:val="00562A59"/>
    <w:rsid w:val="005656C1"/>
    <w:rsid w:val="00596252"/>
    <w:rsid w:val="005B7303"/>
    <w:rsid w:val="005F6FDF"/>
    <w:rsid w:val="00617A13"/>
    <w:rsid w:val="00622BAB"/>
    <w:rsid w:val="00630C43"/>
    <w:rsid w:val="00646CD4"/>
    <w:rsid w:val="006525F9"/>
    <w:rsid w:val="006B7B2C"/>
    <w:rsid w:val="006D41F5"/>
    <w:rsid w:val="006F6B1E"/>
    <w:rsid w:val="007015A6"/>
    <w:rsid w:val="00732828"/>
    <w:rsid w:val="00740ADC"/>
    <w:rsid w:val="00765C1A"/>
    <w:rsid w:val="007A79C8"/>
    <w:rsid w:val="007C1DD7"/>
    <w:rsid w:val="007D22CC"/>
    <w:rsid w:val="008159CB"/>
    <w:rsid w:val="00840C64"/>
    <w:rsid w:val="008460A0"/>
    <w:rsid w:val="00850A83"/>
    <w:rsid w:val="00863E5C"/>
    <w:rsid w:val="008A56E8"/>
    <w:rsid w:val="008B3080"/>
    <w:rsid w:val="008C2196"/>
    <w:rsid w:val="008E2202"/>
    <w:rsid w:val="00960A85"/>
    <w:rsid w:val="00965494"/>
    <w:rsid w:val="009953B4"/>
    <w:rsid w:val="009D09D2"/>
    <w:rsid w:val="009D4716"/>
    <w:rsid w:val="009E2013"/>
    <w:rsid w:val="00A1780B"/>
    <w:rsid w:val="00A21D2E"/>
    <w:rsid w:val="00A4795E"/>
    <w:rsid w:val="00A536B7"/>
    <w:rsid w:val="00A74AD6"/>
    <w:rsid w:val="00AB7014"/>
    <w:rsid w:val="00AC5A5B"/>
    <w:rsid w:val="00AD0613"/>
    <w:rsid w:val="00AD7988"/>
    <w:rsid w:val="00B4591F"/>
    <w:rsid w:val="00B5447B"/>
    <w:rsid w:val="00B673D5"/>
    <w:rsid w:val="00B90D66"/>
    <w:rsid w:val="00BB4161"/>
    <w:rsid w:val="00BB4E18"/>
    <w:rsid w:val="00BE3714"/>
    <w:rsid w:val="00C00DC6"/>
    <w:rsid w:val="00C07D6B"/>
    <w:rsid w:val="00C10AF5"/>
    <w:rsid w:val="00C52E11"/>
    <w:rsid w:val="00C7781F"/>
    <w:rsid w:val="00CB349D"/>
    <w:rsid w:val="00CE4C5E"/>
    <w:rsid w:val="00D04E4D"/>
    <w:rsid w:val="00D32B12"/>
    <w:rsid w:val="00D74B8F"/>
    <w:rsid w:val="00D8152A"/>
    <w:rsid w:val="00D950FF"/>
    <w:rsid w:val="00DD2D99"/>
    <w:rsid w:val="00E01A55"/>
    <w:rsid w:val="00E203EE"/>
    <w:rsid w:val="00E47079"/>
    <w:rsid w:val="00E47C6D"/>
    <w:rsid w:val="00E50A3A"/>
    <w:rsid w:val="00E9504E"/>
    <w:rsid w:val="00EA0D16"/>
    <w:rsid w:val="00EB32C2"/>
    <w:rsid w:val="00F062E5"/>
    <w:rsid w:val="00F21F9D"/>
    <w:rsid w:val="00F31D3A"/>
    <w:rsid w:val="00F3354C"/>
    <w:rsid w:val="00F574BD"/>
    <w:rsid w:val="00F70472"/>
    <w:rsid w:val="00F80A9B"/>
    <w:rsid w:val="00F848BE"/>
    <w:rsid w:val="00FD36C7"/>
    <w:rsid w:val="039E4C0D"/>
    <w:rsid w:val="07A86AAB"/>
    <w:rsid w:val="0AAC61FB"/>
    <w:rsid w:val="0DB431D5"/>
    <w:rsid w:val="17477418"/>
    <w:rsid w:val="186E17E5"/>
    <w:rsid w:val="1A530AF8"/>
    <w:rsid w:val="1AD35795"/>
    <w:rsid w:val="1BA6498A"/>
    <w:rsid w:val="1D073C0E"/>
    <w:rsid w:val="1E6C2CEF"/>
    <w:rsid w:val="201E74B3"/>
    <w:rsid w:val="28606F25"/>
    <w:rsid w:val="29B14A4F"/>
    <w:rsid w:val="2AF92FF6"/>
    <w:rsid w:val="305422AF"/>
    <w:rsid w:val="312404F6"/>
    <w:rsid w:val="33987780"/>
    <w:rsid w:val="3AF53898"/>
    <w:rsid w:val="3B6A6C6F"/>
    <w:rsid w:val="3C28373B"/>
    <w:rsid w:val="3D3A6B2F"/>
    <w:rsid w:val="3D9814C9"/>
    <w:rsid w:val="3EAA43D5"/>
    <w:rsid w:val="400C220D"/>
    <w:rsid w:val="449D119D"/>
    <w:rsid w:val="45196317"/>
    <w:rsid w:val="4B6776B0"/>
    <w:rsid w:val="4F5A7036"/>
    <w:rsid w:val="508D160C"/>
    <w:rsid w:val="5160541B"/>
    <w:rsid w:val="52F14517"/>
    <w:rsid w:val="53697CAD"/>
    <w:rsid w:val="5A625C12"/>
    <w:rsid w:val="5E7128C8"/>
    <w:rsid w:val="62B322B2"/>
    <w:rsid w:val="66611790"/>
    <w:rsid w:val="686F14A8"/>
    <w:rsid w:val="6B4E773D"/>
    <w:rsid w:val="6F775864"/>
    <w:rsid w:val="706012A8"/>
    <w:rsid w:val="70BD374B"/>
    <w:rsid w:val="76DC7A6E"/>
    <w:rsid w:val="79B61CDF"/>
    <w:rsid w:val="7A7B17FE"/>
    <w:rsid w:val="7CAB783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imes New Roman" w:hAnsi="Times New Roman" w:eastAsia="仿宋_GB2312" w:cs="Times New Roman"/>
      <w:kern w:val="2"/>
      <w:sz w:val="32"/>
      <w:szCs w:val="22"/>
      <w:lang w:val="en-US" w:eastAsia="zh-CN" w:bidi="ar-SA"/>
    </w:rPr>
  </w:style>
  <w:style w:type="character" w:default="1" w:styleId="12">
    <w:name w:val="Default Paragraph Font"/>
    <w:qFormat/>
    <w:uiPriority w:val="0"/>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3">
    <w:name w:val="Document Map"/>
    <w:basedOn w:val="1"/>
    <w:semiHidden/>
    <w:qFormat/>
    <w:uiPriority w:val="0"/>
    <w:pPr>
      <w:shd w:val="clear" w:color="auto" w:fill="000080"/>
    </w:pPr>
  </w:style>
  <w:style w:type="paragraph" w:styleId="4">
    <w:name w:val="Body Text"/>
    <w:basedOn w:val="1"/>
    <w:qFormat/>
    <w:uiPriority w:val="0"/>
    <w:pPr>
      <w:spacing w:line="240" w:lineRule="auto"/>
      <w:ind w:firstLine="0" w:firstLineChars="0"/>
    </w:pPr>
    <w:rPr>
      <w:rFonts w:ascii="等线" w:hAnsi="等线" w:eastAsia="等线"/>
      <w:sz w:val="21"/>
      <w:szCs w:val="21"/>
    </w:rPr>
  </w:style>
  <w:style w:type="paragraph" w:styleId="5">
    <w:name w:val="toc 3"/>
    <w:basedOn w:val="1"/>
    <w:next w:val="1"/>
    <w:semiHidden/>
    <w:unhideWhenUsed/>
    <w:qFormat/>
    <w:uiPriority w:val="39"/>
    <w:pPr>
      <w:ind w:left="840" w:leftChars="400"/>
    </w:pPr>
  </w:style>
  <w:style w:type="paragraph" w:styleId="6">
    <w:name w:val="Balloon Text"/>
    <w:basedOn w:val="1"/>
    <w:link w:val="13"/>
    <w:qFormat/>
    <w:uiPriority w:val="0"/>
    <w:pPr>
      <w:spacing w:line="240" w:lineRule="auto"/>
    </w:pPr>
    <w:rPr>
      <w:rFonts w:ascii="Times New Roman" w:hAnsi="Times New Roman" w:eastAsia="仿宋_GB2312"/>
      <w:kern w:val="2"/>
      <w:sz w:val="18"/>
      <w:szCs w:val="18"/>
    </w:rPr>
  </w:style>
  <w:style w:type="paragraph" w:styleId="7">
    <w:name w:val="footer"/>
    <w:basedOn w:val="1"/>
    <w:link w:val="14"/>
    <w:qFormat/>
    <w:uiPriority w:val="0"/>
    <w:pPr>
      <w:tabs>
        <w:tab w:val="center" w:pos="4153"/>
        <w:tab w:val="right" w:pos="8306"/>
      </w:tabs>
      <w:snapToGrid w:val="0"/>
      <w:spacing w:line="240" w:lineRule="atLeast"/>
      <w:jc w:val="left"/>
    </w:pPr>
    <w:rPr>
      <w:rFonts w:ascii="Times New Roman" w:hAnsi="Times New Roman" w:eastAsia="仿宋_GB2312"/>
      <w:kern w:val="2"/>
      <w:sz w:val="18"/>
      <w:szCs w:val="18"/>
    </w:rPr>
  </w:style>
  <w:style w:type="paragraph" w:styleId="8">
    <w:name w:val="header"/>
    <w:basedOn w:val="1"/>
    <w:link w:val="15"/>
    <w:qFormat/>
    <w:uiPriority w:val="0"/>
    <w:pPr>
      <w:tabs>
        <w:tab w:val="center" w:pos="4153"/>
        <w:tab w:val="right" w:pos="8306"/>
      </w:tabs>
      <w:snapToGrid w:val="0"/>
      <w:spacing w:line="240" w:lineRule="atLeast"/>
      <w:jc w:val="center"/>
    </w:pPr>
    <w:rPr>
      <w:rFonts w:ascii="Times New Roman" w:hAnsi="Times New Roman" w:eastAsia="仿宋_GB2312"/>
      <w:kern w:val="2"/>
      <w:sz w:val="18"/>
      <w:szCs w:val="18"/>
    </w:rPr>
  </w:style>
  <w:style w:type="paragraph" w:styleId="9">
    <w:name w:val="toc 1"/>
    <w:basedOn w:val="1"/>
    <w:next w:val="1"/>
    <w:semiHidden/>
    <w:unhideWhenUsed/>
    <w:qFormat/>
    <w:uiPriority w:val="39"/>
  </w:style>
  <w:style w:type="paragraph" w:styleId="10">
    <w:name w:val="toc 2"/>
    <w:basedOn w:val="1"/>
    <w:next w:val="1"/>
    <w:semiHidden/>
    <w:unhideWhenUsed/>
    <w:qFormat/>
    <w:uiPriority w:val="39"/>
    <w:pPr>
      <w:ind w:left="420" w:leftChars="200"/>
    </w:pPr>
  </w:style>
  <w:style w:type="character" w:customStyle="1" w:styleId="13">
    <w:name w:val="批注框文本 字符"/>
    <w:link w:val="6"/>
    <w:qFormat/>
    <w:uiPriority w:val="0"/>
    <w:rPr>
      <w:rFonts w:ascii="Times New Roman" w:hAnsi="Times New Roman" w:eastAsia="仿宋_GB2312"/>
      <w:kern w:val="2"/>
      <w:sz w:val="18"/>
      <w:szCs w:val="18"/>
    </w:rPr>
  </w:style>
  <w:style w:type="character" w:customStyle="1" w:styleId="14">
    <w:name w:val="页脚 字符"/>
    <w:link w:val="7"/>
    <w:qFormat/>
    <w:uiPriority w:val="0"/>
    <w:rPr>
      <w:rFonts w:ascii="Times New Roman" w:hAnsi="Times New Roman" w:eastAsia="仿宋_GB2312"/>
      <w:kern w:val="2"/>
      <w:sz w:val="18"/>
      <w:szCs w:val="18"/>
    </w:rPr>
  </w:style>
  <w:style w:type="character" w:customStyle="1" w:styleId="15">
    <w:name w:val="页眉 字符"/>
    <w:link w:val="8"/>
    <w:qFormat/>
    <w:uiPriority w:val="0"/>
    <w:rPr>
      <w:rFonts w:ascii="Times New Roman" w:hAnsi="Times New Roman" w:eastAsia="仿宋_GB2312"/>
      <w:kern w:val="2"/>
      <w:sz w:val="18"/>
      <w:szCs w:val="18"/>
    </w:rPr>
  </w:style>
  <w:style w:type="paragraph" w:customStyle="1" w:styleId="16">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chart" Target="charts/chart8.xml"/><Relationship Id="rId25" Type="http://schemas.openxmlformats.org/officeDocument/2006/relationships/chart" Target="charts/chart7.xml"/><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收入支出决算总体情况</a:t>
            </a:r>
          </a:p>
        </c:rich>
      </c:tx>
      <c:layout/>
      <c:overlay val="0"/>
      <c:spPr>
        <a:noFill/>
        <a:ln>
          <a:noFill/>
        </a:ln>
        <a:effectLst/>
      </c:spPr>
    </c:title>
    <c:autoTitleDeleted val="0"/>
    <c:plotArea>
      <c:layout/>
      <c:barChart>
        <c:barDir val="col"/>
        <c:grouping val="clustered"/>
        <c:varyColors val="0"/>
        <c:ser>
          <c:idx val="0"/>
          <c:order val="0"/>
          <c:tx>
            <c:strRef>
              <c:f>Sheet1!$C$1</c:f>
              <c:strCache>
                <c:ptCount val="1"/>
                <c:pt idx="0">
                  <c:v>2020年</c:v>
                </c:pt>
              </c:strCache>
            </c:strRef>
          </c:tx>
          <c:spPr>
            <a:solidFill>
              <a:schemeClr val="accent1"/>
            </a:solidFill>
            <a:ln>
              <a:noFill/>
            </a:ln>
            <a:effectLst/>
          </c:spPr>
          <c:invertIfNegative val="0"/>
          <c:dLbls>
            <c:delete val="1"/>
          </c:dLbls>
          <c:cat>
            <c:strRef>
              <c:f>Sheet1!$A$2:$A$5</c:f>
              <c:strCache>
                <c:ptCount val="4"/>
                <c:pt idx="0">
                  <c:v>财政拨款收入</c:v>
                </c:pt>
                <c:pt idx="1">
                  <c:v>财政拨款支出</c:v>
                </c:pt>
              </c:strCache>
            </c:strRef>
          </c:cat>
          <c:val>
            <c:numRef>
              <c:f>Sheet1!$C$2:$C$5</c:f>
              <c:numCache>
                <c:formatCode>General</c:formatCode>
                <c:ptCount val="4"/>
                <c:pt idx="0">
                  <c:v>150.93</c:v>
                </c:pt>
                <c:pt idx="1">
                  <c:v>150.93</c:v>
                </c:pt>
              </c:numCache>
            </c:numRef>
          </c:val>
        </c:ser>
        <c:ser>
          <c:idx val="1"/>
          <c:order val="1"/>
          <c:tx>
            <c:strRef>
              <c:f>Sheet1!#REF!</c:f>
              <c:strCache>
                <c:ptCount val="1"/>
                <c:pt idx="0">
                  <c:v/>
                </c:pt>
              </c:strCache>
            </c:strRef>
          </c:tx>
          <c:spPr>
            <a:solidFill>
              <a:schemeClr val="accent2"/>
            </a:solidFill>
            <a:ln>
              <a:noFill/>
            </a:ln>
            <a:effectLst/>
          </c:spPr>
          <c:invertIfNegative val="0"/>
          <c:dLbls>
            <c:delete val="1"/>
          </c:dLbls>
          <c:cat>
            <c:strRef>
              <c:f>Sheet1!$A$2:$A$5</c:f>
              <c:strCache>
                <c:ptCount val="4"/>
                <c:pt idx="0">
                  <c:v>财政拨款收入</c:v>
                </c:pt>
                <c:pt idx="1">
                  <c:v>财政拨款支出</c:v>
                </c:pt>
              </c:strCache>
            </c:strRef>
          </c:cat>
          <c:val>
            <c:numRef>
              <c:f>Sheet1!#REF!</c:f>
              <c:numCache>
                <c:formatCode>General</c:formatCode>
                <c:ptCount val="1"/>
                <c:pt idx="0">
                  <c:v>1</c:v>
                </c:pt>
              </c:numCache>
            </c:numRef>
          </c:val>
        </c:ser>
        <c:ser>
          <c:idx val="2"/>
          <c:order val="2"/>
          <c:tx>
            <c:strRef>
              <c:f>Sheet1!$D$1</c:f>
              <c:strCache>
                <c:ptCount val="1"/>
                <c:pt idx="0">
                  <c:v>2021年</c:v>
                </c:pt>
              </c:strCache>
            </c:strRef>
          </c:tx>
          <c:spPr>
            <a:solidFill>
              <a:schemeClr val="accent3"/>
            </a:solidFill>
            <a:ln>
              <a:noFill/>
            </a:ln>
            <a:effectLst/>
          </c:spPr>
          <c:invertIfNegative val="0"/>
          <c:dLbls>
            <c:delete val="1"/>
          </c:dLbls>
          <c:cat>
            <c:strRef>
              <c:f>Sheet1!$A$2:$A$5</c:f>
              <c:strCache>
                <c:ptCount val="4"/>
                <c:pt idx="0">
                  <c:v>财政拨款收入</c:v>
                </c:pt>
                <c:pt idx="1">
                  <c:v>财政拨款支出</c:v>
                </c:pt>
              </c:strCache>
            </c:strRef>
          </c:cat>
          <c:val>
            <c:numRef>
              <c:f>Sheet1!$D$2:$D$5</c:f>
              <c:numCache>
                <c:formatCode>General</c:formatCode>
                <c:ptCount val="4"/>
                <c:pt idx="0">
                  <c:v>144.23</c:v>
                </c:pt>
                <c:pt idx="1">
                  <c:v>144.53</c:v>
                </c:pt>
              </c:numCache>
            </c:numRef>
          </c:val>
        </c:ser>
        <c:dLbls>
          <c:showLegendKey val="0"/>
          <c:showVal val="0"/>
          <c:showCatName val="0"/>
          <c:showSerName val="0"/>
          <c:showPercent val="0"/>
          <c:showBubbleSize val="0"/>
        </c:dLbls>
        <c:gapWidth val="219"/>
        <c:overlap val="-27"/>
        <c:axId val="273158073"/>
        <c:axId val="50990939"/>
      </c:barChart>
      <c:catAx>
        <c:axId val="27315807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990939"/>
        <c:crosses val="autoZero"/>
        <c:auto val="1"/>
        <c:lblAlgn val="ctr"/>
        <c:lblOffset val="100"/>
        <c:noMultiLvlLbl val="0"/>
      </c:catAx>
      <c:valAx>
        <c:axId val="509909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3158073"/>
        <c:crosses val="autoZero"/>
        <c:crossBetween val="between"/>
      </c:valAx>
      <c:spPr>
        <a:noFill/>
        <a:ln>
          <a:noFill/>
        </a:ln>
        <a:effectLst/>
      </c:spPr>
    </c:plotArea>
    <c:legend>
      <c:legendPos val="b"/>
      <c:legendEntry>
        <c:idx val="1"/>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财政拨款收入</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2021年</c:v>
                </c:pt>
              </c:strCache>
            </c:strRef>
          </c:cat>
          <c:val>
            <c:numRef>
              <c:f>Sheet1!$B$2:$B$5</c:f>
              <c:numCache>
                <c:formatCode>0%</c:formatCode>
                <c:ptCount val="4"/>
                <c:pt idx="0">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2"/>
        <c:delete val="1"/>
      </c:legendEntry>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年支出</a:t>
            </a:r>
            <a:r>
              <a:t>决算情况</a:t>
            </a:r>
          </a:p>
        </c:rich>
      </c:tx>
      <c:layout/>
      <c:overlay val="0"/>
      <c:spPr>
        <a:noFill/>
        <a:ln>
          <a:noFill/>
        </a:ln>
        <a:effectLst/>
      </c:spPr>
    </c:title>
    <c:autoTitleDeleted val="0"/>
    <c:plotArea>
      <c:layout/>
      <c:pieChart>
        <c:varyColors val="1"/>
        <c:ser>
          <c:idx val="0"/>
          <c:order val="0"/>
          <c:tx>
            <c:strRef>
              <c:f>Sheet1!$B$1</c:f>
              <c:strCache>
                <c:ptCount val="1"/>
                <c:pt idx="0">
                  <c:v>决算支出占总收入的百分比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基本支出</c:v>
                </c:pt>
                <c:pt idx="1">
                  <c:v>项目支出</c:v>
                </c:pt>
              </c:strCache>
            </c:strRef>
          </c:cat>
          <c:val>
            <c:numRef>
              <c:f>Sheet1!$B$2:$B$4</c:f>
              <c:numCache>
                <c:formatCode>0.00%</c:formatCode>
                <c:ptCount val="3"/>
                <c:pt idx="0">
                  <c:v>0.9215</c:v>
                </c:pt>
                <c:pt idx="1">
                  <c:v>0.0785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财政拨款收入支出总体情况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2021年</c:v>
                </c:pt>
              </c:strCache>
            </c:strRef>
          </c:tx>
          <c:spPr>
            <a:solidFill>
              <a:schemeClr val="accent1"/>
            </a:solidFill>
            <a:ln>
              <a:noFill/>
            </a:ln>
            <a:effectLst/>
          </c:spPr>
          <c:invertIfNegative val="0"/>
          <c:dLbls>
            <c:delete val="1"/>
          </c:dLbls>
          <c:cat>
            <c:strRef>
              <c:f>Sheet1!$A$2:$A$4</c:f>
              <c:strCache>
                <c:ptCount val="3"/>
                <c:pt idx="0">
                  <c:v>财政拨款收入</c:v>
                </c:pt>
                <c:pt idx="1">
                  <c:v>财政拨款支出</c:v>
                </c:pt>
              </c:strCache>
            </c:strRef>
          </c:cat>
          <c:val>
            <c:numRef>
              <c:f>Sheet1!$B$2:$B$4</c:f>
              <c:numCache>
                <c:formatCode>General</c:formatCode>
                <c:ptCount val="3"/>
                <c:pt idx="0">
                  <c:v>144.23</c:v>
                </c:pt>
                <c:pt idx="1">
                  <c:v>144.53</c:v>
                </c:pt>
              </c:numCache>
            </c:numRef>
          </c:val>
        </c:ser>
        <c:ser>
          <c:idx val="1"/>
          <c:order val="1"/>
          <c:tx>
            <c:strRef>
              <c:f>Sheet1!$C$1</c:f>
              <c:strCache>
                <c:ptCount val="1"/>
                <c:pt idx="0">
                  <c:v>2020年</c:v>
                </c:pt>
              </c:strCache>
            </c:strRef>
          </c:tx>
          <c:spPr>
            <a:solidFill>
              <a:schemeClr val="accent2"/>
            </a:solidFill>
            <a:ln>
              <a:noFill/>
            </a:ln>
            <a:effectLst/>
          </c:spPr>
          <c:invertIfNegative val="0"/>
          <c:dLbls>
            <c:delete val="1"/>
          </c:dLbls>
          <c:cat>
            <c:strRef>
              <c:f>Sheet1!$A$2:$A$4</c:f>
              <c:strCache>
                <c:ptCount val="3"/>
                <c:pt idx="0">
                  <c:v>财政拨款收入</c:v>
                </c:pt>
                <c:pt idx="1">
                  <c:v>财政拨款支出</c:v>
                </c:pt>
              </c:strCache>
            </c:strRef>
          </c:cat>
          <c:val>
            <c:numRef>
              <c:f>Sheet1!$C$2:$C$4</c:f>
              <c:numCache>
                <c:formatCode>General</c:formatCode>
                <c:ptCount val="3"/>
                <c:pt idx="0">
                  <c:v>150.93</c:v>
                </c:pt>
                <c:pt idx="1">
                  <c:v>150.93</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Sheet1!$A$2:$A$4</c:f>
              <c:strCache>
                <c:ptCount val="3"/>
                <c:pt idx="0">
                  <c:v>财政拨款收入</c:v>
                </c:pt>
                <c:pt idx="1">
                  <c:v>财政拨款支出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793510629"/>
        <c:axId val="570286778"/>
      </c:barChart>
      <c:catAx>
        <c:axId val="79351062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0286778"/>
        <c:crosses val="autoZero"/>
        <c:auto val="1"/>
        <c:lblAlgn val="ctr"/>
        <c:lblOffset val="100"/>
        <c:noMultiLvlLbl val="0"/>
      </c:catAx>
      <c:valAx>
        <c:axId val="57028677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10629"/>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2021</a:t>
            </a:r>
            <a:r>
              <a:rPr altLang="en-US"/>
              <a:t>年</a:t>
            </a:r>
            <a:r>
              <a:t>财政拨款支出决算总体情况</a:t>
            </a:r>
          </a:p>
        </c:rich>
      </c:tx>
      <c:layout/>
      <c:overlay val="0"/>
      <c:spPr>
        <a:noFill/>
        <a:ln>
          <a:noFill/>
        </a:ln>
        <a:effectLst/>
      </c:spPr>
    </c:title>
    <c:autoTitleDeleted val="0"/>
    <c:plotArea>
      <c:layout/>
      <c:pieChart>
        <c:varyColors val="1"/>
        <c:ser>
          <c:idx val="0"/>
          <c:order val="0"/>
          <c:tx>
            <c:strRef>
              <c:f>Sheet1!$B$1</c:f>
              <c:strCache>
                <c:ptCount val="1"/>
                <c:pt idx="0">
                  <c:v>决算支出占总收入的百分比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人员经费</c:v>
                </c:pt>
                <c:pt idx="1">
                  <c:v>日常公用经费</c:v>
                </c:pt>
                <c:pt idx="2">
                  <c:v>项目经费</c:v>
                </c:pt>
              </c:strCache>
            </c:strRef>
          </c:cat>
          <c:val>
            <c:numRef>
              <c:f>Sheet1!$B$2:$B$4</c:f>
              <c:numCache>
                <c:formatCode>0.00%</c:formatCode>
                <c:ptCount val="3"/>
                <c:pt idx="0">
                  <c:v>0.9151</c:v>
                </c:pt>
                <c:pt idx="1">
                  <c:v>0.0083</c:v>
                </c:pt>
                <c:pt idx="2">
                  <c:v>0.0766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财政拨款支出决算结构</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教育支出</c:v>
                </c:pt>
                <c:pt idx="1">
                  <c:v>社会保障和就业支出</c:v>
                </c:pt>
                <c:pt idx="2">
                  <c:v>卫生健康支出</c:v>
                </c:pt>
                <c:pt idx="3">
                  <c:v>住房保障支出</c:v>
                </c:pt>
              </c:strCache>
            </c:strRef>
          </c:cat>
          <c:val>
            <c:numRef>
              <c:f>Sheet1!$B$2:$B$5</c:f>
              <c:numCache>
                <c:formatCode>0.00%</c:formatCode>
                <c:ptCount val="4"/>
                <c:pt idx="0">
                  <c:v>0.7028</c:v>
                </c:pt>
                <c:pt idx="1">
                  <c:v>0.2018</c:v>
                </c:pt>
                <c:pt idx="2">
                  <c:v>0.046</c:v>
                </c:pt>
                <c:pt idx="3">
                  <c:v>0.0494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b="1"/>
              <a:t>财政拨款支出决算具体情况</a:t>
            </a:r>
            <a:endParaRPr b="1"/>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年初预算</c:v>
                </c:pt>
              </c:strCache>
            </c:strRef>
          </c:tx>
          <c:spPr>
            <a:solidFill>
              <a:schemeClr val="accent1"/>
            </a:solidFill>
            <a:ln>
              <a:noFill/>
            </a:ln>
            <a:effectLst/>
          </c:spPr>
          <c:invertIfNegative val="0"/>
          <c:dLbls>
            <c:delete val="1"/>
          </c:dLbls>
          <c:cat>
            <c:strRef>
              <c:f>Sheet1!$A$2:$A$5</c:f>
              <c:strCache>
                <c:ptCount val="4"/>
                <c:pt idx="0">
                  <c:v>教育支出</c:v>
                </c:pt>
                <c:pt idx="1">
                  <c:v>社会保障和就业支出</c:v>
                </c:pt>
                <c:pt idx="2">
                  <c:v>卫生健康支出</c:v>
                </c:pt>
                <c:pt idx="3">
                  <c:v>住房保障支出</c:v>
                </c:pt>
              </c:strCache>
            </c:strRef>
          </c:cat>
          <c:val>
            <c:numRef>
              <c:f>Sheet1!$B$2:$B$5</c:f>
              <c:numCache>
                <c:formatCode>General</c:formatCode>
                <c:ptCount val="4"/>
                <c:pt idx="0">
                  <c:v>101.73</c:v>
                </c:pt>
                <c:pt idx="1">
                  <c:v>19.18</c:v>
                </c:pt>
                <c:pt idx="2">
                  <c:v>6.46</c:v>
                </c:pt>
                <c:pt idx="3">
                  <c:v>7.14</c:v>
                </c:pt>
              </c:numCache>
            </c:numRef>
          </c:val>
        </c:ser>
        <c:ser>
          <c:idx val="1"/>
          <c:order val="1"/>
          <c:tx>
            <c:strRef>
              <c:f>Sheet1!$C$1</c:f>
              <c:strCache>
                <c:ptCount val="1"/>
                <c:pt idx="0">
                  <c:v>支出决算</c:v>
                </c:pt>
              </c:strCache>
            </c:strRef>
          </c:tx>
          <c:spPr>
            <a:solidFill>
              <a:schemeClr val="accent2"/>
            </a:solidFill>
            <a:ln>
              <a:noFill/>
            </a:ln>
            <a:effectLst/>
          </c:spPr>
          <c:invertIfNegative val="0"/>
          <c:dLbls>
            <c:delete val="1"/>
          </c:dLbls>
          <c:cat>
            <c:strRef>
              <c:f>Sheet1!$A$2:$A$5</c:f>
              <c:strCache>
                <c:ptCount val="4"/>
                <c:pt idx="0">
                  <c:v>教育支出</c:v>
                </c:pt>
                <c:pt idx="1">
                  <c:v>社会保障和就业支出</c:v>
                </c:pt>
                <c:pt idx="2">
                  <c:v>卫生健康支出</c:v>
                </c:pt>
                <c:pt idx="3">
                  <c:v>住房保障支出</c:v>
                </c:pt>
              </c:strCache>
            </c:strRef>
          </c:cat>
          <c:val>
            <c:numRef>
              <c:f>Sheet1!$C$2:$C$5</c:f>
              <c:numCache>
                <c:formatCode>General</c:formatCode>
                <c:ptCount val="4"/>
                <c:pt idx="0">
                  <c:v>101.57</c:v>
                </c:pt>
                <c:pt idx="1">
                  <c:v>29.17</c:v>
                </c:pt>
                <c:pt idx="2">
                  <c:v>6.65</c:v>
                </c:pt>
                <c:pt idx="3">
                  <c:v>7.15</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Sheet1!$A$2:$A$5</c:f>
              <c:strCache>
                <c:ptCount val="4"/>
                <c:pt idx="0">
                  <c:v>教育支出</c:v>
                </c:pt>
                <c:pt idx="1">
                  <c:v>社会保障和就业支出</c:v>
                </c:pt>
                <c:pt idx="2">
                  <c:v>卫生健康支出</c:v>
                </c:pt>
                <c:pt idx="3">
                  <c:v>住房保障支出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46381638"/>
        <c:axId val="548104716"/>
      </c:barChart>
      <c:catAx>
        <c:axId val="4638163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548104716"/>
        <c:crosses val="autoZero"/>
        <c:auto val="1"/>
        <c:lblAlgn val="ctr"/>
        <c:lblOffset val="100"/>
        <c:noMultiLvlLbl val="0"/>
      </c:catAx>
      <c:valAx>
        <c:axId val="5481047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crossAx val="4638163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2"/>
        <c:delete val="1"/>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财政拨款基本支出</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人员经费</c:v>
                </c:pt>
                <c:pt idx="1">
                  <c:v>公用经费</c:v>
                </c:pt>
                <c:pt idx="2">
                  <c:v>项目经费</c:v>
                </c:pt>
              </c:strCache>
            </c:strRef>
          </c:cat>
          <c:val>
            <c:numRef>
              <c:f>Sheet1!$B$2:$B$4</c:f>
              <c:numCache>
                <c:formatCode>General</c:formatCode>
                <c:ptCount val="3"/>
                <c:pt idx="0">
                  <c:v>128.23</c:v>
                </c:pt>
                <c:pt idx="1">
                  <c:v>1.2</c:v>
                </c:pt>
                <c:pt idx="2">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3563</Words>
  <Characters>4025</Characters>
  <Lines>28</Lines>
  <Paragraphs>8</Paragraphs>
  <TotalTime>6</TotalTime>
  <ScaleCrop>false</ScaleCrop>
  <LinksUpToDate>false</LinksUpToDate>
  <CharactersWithSpaces>4096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2022-10-17T02:43:00Z</dcterms:created>
  <dc:creator>1</dc:creator>
  <cp:lastModifiedBy>Administrator</cp:lastModifiedBy>
  <cp:lastPrinted>2022-07-27T08:45:00Z</cp:lastPrinted>
  <dcterms:modified xsi:type="dcterms:W3CDTF">2022-10-24T08:21:30Z</dcterms:modified>
  <dc:title>附件1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6C293972F8204EFDADE24B715A075DAC</vt:lpwstr>
  </property>
</Properties>
</file>