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中共襄汾县委机构编制委员会办公室</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2022年度部门预算公开</w:t>
      </w:r>
    </w:p>
    <w:p>
      <w:pPr>
        <w:widowControl/>
        <w:jc w:val="center"/>
        <w:rPr>
          <w:rFonts w:ascii="宋体" w:hAnsi="宋体" w:eastAsia="宋体" w:cs="宋体"/>
          <w:b/>
          <w:bCs/>
          <w:kern w:val="0"/>
          <w:sz w:val="44"/>
          <w:szCs w:val="44"/>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一、本部门职责</w:t>
      </w:r>
    </w:p>
    <w:p>
      <w:pPr>
        <w:autoSpaceDE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中共襄汾县委机构编制委员会办公室（以下简称县委编办）作为中共襄汾县委机构编制委员会的办事机构，承担中共襄汾县委机构编制委员会日常工作，是县委的工作机关，为正科级，归口县委组织部管理。</w:t>
      </w:r>
    </w:p>
    <w:p>
      <w:pPr>
        <w:numPr>
          <w:ilvl w:val="0"/>
          <w:numId w:val="1"/>
        </w:numPr>
        <w:autoSpaceDE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贯彻执行党中央、国务院，省委、省政府，市委、市政府有关行政管理体制和机构改革以及机构编制管理的政策和法律法规。</w:t>
      </w:r>
    </w:p>
    <w:p>
      <w:pPr>
        <w:numPr>
          <w:ilvl w:val="0"/>
          <w:numId w:val="2"/>
        </w:numPr>
        <w:autoSpaceDE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负责全县各级党政机关、人大、政协,各民主党派、人民团体机关（以下简称党政群机关）及事业单位的机构编制管理工作。</w:t>
      </w:r>
    </w:p>
    <w:p>
      <w:pPr>
        <w:numPr>
          <w:ilvl w:val="0"/>
          <w:numId w:val="2"/>
        </w:numPr>
        <w:autoSpaceDE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研究拟定全县行政管理体制与机构改革总体方案。拟定县级机构改革方案及实施意见。</w:t>
      </w:r>
      <w:r>
        <w:rPr>
          <w:rFonts w:hint="eastAsia" w:eastAsia="仿宋_GB2312" w:cs="仿宋_GB2312"/>
          <w:bCs/>
          <w:sz w:val="32"/>
          <w:szCs w:val="32"/>
        </w:rPr>
        <w:t>指导、协调相关</w:t>
      </w:r>
      <w:r>
        <w:rPr>
          <w:rFonts w:hint="eastAsia" w:ascii="仿宋_GB2312" w:hAnsi="仿宋_GB2312" w:eastAsia="仿宋_GB2312" w:cs="仿宋_GB2312"/>
          <w:bCs/>
          <w:sz w:val="32"/>
          <w:szCs w:val="32"/>
        </w:rPr>
        <w:t>改革推进落实工作。</w:t>
      </w:r>
    </w:p>
    <w:p>
      <w:pPr>
        <w:numPr>
          <w:ilvl w:val="0"/>
          <w:numId w:val="2"/>
        </w:num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审核县委各部门、县政府各部门以及乡（</w:t>
      </w:r>
      <w:r>
        <w:rPr>
          <w:rFonts w:hint="eastAsia" w:eastAsia="仿宋_GB2312" w:cs="仿宋_GB2312"/>
          <w:bCs/>
          <w:sz w:val="32"/>
          <w:szCs w:val="32"/>
        </w:rPr>
        <w:t>镇</w:t>
      </w:r>
      <w:r>
        <w:rPr>
          <w:rFonts w:hint="eastAsia" w:ascii="仿宋_GB2312" w:hAnsi="仿宋_GB2312" w:eastAsia="仿宋_GB2312" w:cs="仿宋_GB2312"/>
          <w:bCs/>
          <w:sz w:val="32"/>
          <w:szCs w:val="32"/>
        </w:rPr>
        <w:t>）的职能配置、内设机构、人员编制和领导职数方案；协调县委各部门之间、县政府各部门之间、县委各部门和县政府各部门之间以及县与乡（镇）之间的职责分工，科学配置各部门的职能。</w:t>
      </w:r>
    </w:p>
    <w:p>
      <w:pPr>
        <w:numPr>
          <w:ilvl w:val="0"/>
          <w:numId w:val="2"/>
        </w:num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审核县人大、政协和各民主党派、人民团体机关的机构设置、人员编制和领导职数方案。</w:t>
      </w:r>
    </w:p>
    <w:p>
      <w:pPr>
        <w:numPr>
          <w:ilvl w:val="0"/>
          <w:numId w:val="2"/>
        </w:numPr>
        <w:autoSpaceDE w:val="0"/>
        <w:spacing w:line="560" w:lineRule="exact"/>
        <w:ind w:firstLine="616" w:firstLineChars="200"/>
        <w:jc w:val="left"/>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负责县级党政群各部门以及乡（镇）的内设机构、人员编制和领导职数的调整。分配下达县乡两级行政编制总额。</w:t>
      </w:r>
    </w:p>
    <w:p>
      <w:pPr>
        <w:numPr>
          <w:ilvl w:val="0"/>
          <w:numId w:val="2"/>
        </w:num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研究拟定全县事业单位管理体制和机构改革方案。审核县委、县政府直属事业单位的机构编制方案。审报县直副科级以上和财政拨款事业单位的机构编制。审批县直各部门所属自收自支股级事业单位的机构编制。指导、协调相关改革推进落实工作。</w:t>
      </w:r>
    </w:p>
    <w:p>
      <w:pPr>
        <w:numPr>
          <w:ilvl w:val="0"/>
          <w:numId w:val="2"/>
        </w:num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负责报批国家和省级开发区的职能配置、机构设置、人员编制和领导职数。</w:t>
      </w:r>
    </w:p>
    <w:p>
      <w:pPr>
        <w:numPr>
          <w:ilvl w:val="0"/>
          <w:numId w:val="2"/>
        </w:num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负责对全县各级机关、事业单位机构编制及机构改革方案的执行情况进行监督检查，报告县委编委及县委。</w:t>
      </w:r>
    </w:p>
    <w:p>
      <w:pPr>
        <w:numPr>
          <w:ilvl w:val="0"/>
          <w:numId w:val="2"/>
        </w:num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负责组织推进和完善政府部门权责清单制度，统筹协调权责清单管理和执行情况监督。</w:t>
      </w:r>
    </w:p>
    <w:p>
      <w:pPr>
        <w:numPr>
          <w:ilvl w:val="0"/>
          <w:numId w:val="2"/>
        </w:num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负责全县事业单位登记管理工作，组织实施事业单位登记和年度报告工作。</w:t>
      </w:r>
    </w:p>
    <w:p>
      <w:pPr>
        <w:numPr>
          <w:ilvl w:val="0"/>
          <w:numId w:val="2"/>
        </w:num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负责县乡机关和县委编办直接管理机构编制的群众团体统一社会信用代码赋码和证书发放工作。</w:t>
      </w:r>
    </w:p>
    <w:p>
      <w:pPr>
        <w:numPr>
          <w:ilvl w:val="0"/>
          <w:numId w:val="2"/>
        </w:numPr>
        <w:autoSpaceDE w:val="0"/>
        <w:spacing w:line="560" w:lineRule="exact"/>
        <w:ind w:firstLine="640" w:firstLineChars="200"/>
        <w:jc w:val="left"/>
        <w:rPr>
          <w:rFonts w:ascii="仿宋_GB2312" w:hAnsi="仿宋_GB2312" w:eastAsia="仿宋_GB2312" w:cs="仿宋_GB2312"/>
          <w:bCs/>
          <w:sz w:val="32"/>
          <w:szCs w:val="32"/>
        </w:rPr>
      </w:pPr>
      <w:r>
        <w:rPr>
          <w:rFonts w:hint="eastAsia" w:eastAsia="仿宋_GB2312"/>
          <w:sz w:val="32"/>
          <w:szCs w:val="32"/>
        </w:rPr>
        <w:t>完成县委和县委编委交办的其他工作。</w:t>
      </w:r>
    </w:p>
    <w:p>
      <w:pPr>
        <w:numPr>
          <w:ilvl w:val="0"/>
          <w:numId w:val="2"/>
        </w:num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与县行政审批服务管理局有关职责分工。县委编办负责组织推进和完善政府部门权责清单制度，统筹协调权责清单管理和执行情况监督。县行政审批服务管理局配合推进和完善权责清单制度，具体承担县级权责清单梳理规范、动态调整等相关管理工作，对各乡（镇）权责清单管理工作进行指导。</w:t>
      </w:r>
    </w:p>
    <w:p>
      <w:pPr>
        <w:widowControl/>
        <w:numPr>
          <w:ilvl w:val="0"/>
          <w:numId w:val="3"/>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adjustRightInd w:val="0"/>
        <w:spacing w:line="560" w:lineRule="exact"/>
        <w:ind w:firstLine="640" w:firstLineChars="200"/>
        <w:rPr>
          <w:rFonts w:ascii="仿宋_GB2312" w:hAnsi="楷体" w:eastAsia="仿宋_GB2312" w:cs="Times New Roman"/>
          <w:kern w:val="0"/>
          <w:sz w:val="32"/>
          <w:szCs w:val="32"/>
        </w:rPr>
      </w:pPr>
      <w:r>
        <w:rPr>
          <w:rFonts w:ascii="仿宋_GB2312" w:hAnsi="楷体" w:eastAsia="仿宋_GB2312" w:cs="Times New Roman"/>
          <w:kern w:val="0"/>
          <w:sz w:val="32"/>
          <w:szCs w:val="32"/>
        </w:rPr>
        <w:t>1</w:t>
      </w:r>
      <w:r>
        <w:rPr>
          <w:rFonts w:hint="eastAsia" w:ascii="仿宋_GB2312" w:hAnsi="楷体" w:eastAsia="仿宋_GB2312" w:cs="Times New Roman"/>
          <w:kern w:val="0"/>
          <w:sz w:val="32"/>
          <w:szCs w:val="32"/>
        </w:rPr>
        <w:t>．根据部门职责分工，本部门内设机构</w:t>
      </w:r>
      <w:r>
        <w:rPr>
          <w:rFonts w:hint="eastAsia" w:ascii="仿宋_GB2312" w:hAnsi="仿宋" w:eastAsia="仿宋_GB2312" w:cs="仿宋"/>
          <w:color w:val="333333"/>
          <w:sz w:val="32"/>
          <w:szCs w:val="32"/>
        </w:rPr>
        <w:t>3个:综合监督股、机构编制股和事业单位登记管理股</w:t>
      </w:r>
      <w:r>
        <w:rPr>
          <w:rFonts w:hint="eastAsia" w:ascii="仿宋_GB2312" w:hAnsi="楷体" w:eastAsia="仿宋_GB2312" w:cs="Times New Roman"/>
          <w:kern w:val="0"/>
          <w:sz w:val="32"/>
          <w:szCs w:val="32"/>
        </w:rPr>
        <w:t>。本部门下属单位包括：</w:t>
      </w:r>
      <w:r>
        <w:rPr>
          <w:rFonts w:hint="eastAsia" w:ascii="仿宋_GB2312" w:hAnsi="仿宋" w:eastAsia="仿宋_GB2312" w:cs="仿宋"/>
          <w:color w:val="333333"/>
          <w:sz w:val="32"/>
          <w:szCs w:val="32"/>
        </w:rPr>
        <w:t>襄汾县事业单位运行评估中心。</w:t>
      </w:r>
    </w:p>
    <w:p>
      <w:pPr>
        <w:widowControl/>
        <w:adjustRightInd w:val="0"/>
        <w:spacing w:line="560" w:lineRule="exact"/>
        <w:ind w:firstLine="640" w:firstLineChars="200"/>
        <w:rPr>
          <w:rFonts w:ascii="仿宋_GB2312" w:hAnsi="楷体" w:eastAsia="仿宋_GB2312" w:cs="Times New Roman"/>
          <w:kern w:val="0"/>
          <w:sz w:val="32"/>
          <w:szCs w:val="32"/>
        </w:rPr>
      </w:pPr>
      <w:r>
        <w:rPr>
          <w:rFonts w:ascii="仿宋_GB2312" w:hAnsi="楷体" w:eastAsia="仿宋_GB2312" w:cs="Times New Roman"/>
          <w:kern w:val="0"/>
          <w:sz w:val="32"/>
          <w:szCs w:val="32"/>
        </w:rPr>
        <w:t>2</w:t>
      </w:r>
      <w:r>
        <w:rPr>
          <w:rFonts w:hint="eastAsia" w:ascii="仿宋_GB2312" w:hAnsi="楷体" w:eastAsia="仿宋_GB2312" w:cs="Times New Roman"/>
          <w:kern w:val="0"/>
          <w:sz w:val="32"/>
          <w:szCs w:val="32"/>
        </w:rPr>
        <w:t>．从预算单位构成看，纳入本部门</w:t>
      </w:r>
      <w:r>
        <w:rPr>
          <w:rFonts w:ascii="仿宋_GB2312" w:hAnsi="楷体" w:eastAsia="仿宋_GB2312" w:cs="Times New Roman"/>
          <w:kern w:val="0"/>
          <w:sz w:val="32"/>
          <w:szCs w:val="32"/>
        </w:rPr>
        <w:t>202</w:t>
      </w:r>
      <w:r>
        <w:rPr>
          <w:rFonts w:hint="eastAsia" w:ascii="仿宋_GB2312" w:hAnsi="楷体" w:eastAsia="仿宋_GB2312" w:cs="Times New Roman"/>
          <w:kern w:val="0"/>
          <w:sz w:val="32"/>
          <w:szCs w:val="32"/>
        </w:rPr>
        <w:t>2年部门汇总预算编制范围的预算单位共计1家，具体包括：中共襄汾县委机构编制委员会办公室本级。</w:t>
      </w:r>
    </w:p>
    <w:p>
      <w:pPr>
        <w:widowControl/>
        <w:numPr>
          <w:ilvl w:val="0"/>
          <w:numId w:val="3"/>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2022 年部门主要工作任务及目标</w:t>
      </w:r>
    </w:p>
    <w:p>
      <w:pPr>
        <w:autoSpaceDE w:val="0"/>
        <w:autoSpaceDN w:val="0"/>
        <w:adjustRightInd w:val="0"/>
        <w:ind w:firstLine="640" w:firstLineChars="200"/>
        <w:rPr>
          <w:rFonts w:ascii="仿宋_GB2312" w:eastAsia="仿宋_GB2312" w:cs="Times New Roman"/>
          <w:color w:val="000000" w:themeColor="text1"/>
          <w:sz w:val="32"/>
          <w:szCs w:val="32"/>
        </w:rPr>
      </w:pPr>
      <w:r>
        <w:rPr>
          <w:rFonts w:hint="eastAsia" w:ascii="仿宋_GB2312" w:eastAsia="仿宋_GB2312"/>
          <w:color w:val="000000" w:themeColor="text1"/>
          <w:sz w:val="32"/>
          <w:szCs w:val="32"/>
        </w:rPr>
        <w:t>2022年度，本单位共5个项目纳入绩效目标管理，涉及财政性资金合计14.93万元。其中:补充公用经费0.6万元，机构域名年度管理费4.2万元，机构编制、审改、事业运行评估及电子政务工作经费细分三个项目共10.13万元。五个项目</w:t>
      </w:r>
      <w:r>
        <w:rPr>
          <w:rFonts w:hint="eastAsia" w:ascii="仿宋_GB2312" w:eastAsia="仿宋_GB2312" w:cs="仿宋"/>
          <w:color w:val="000000" w:themeColor="text1"/>
          <w:sz w:val="32"/>
          <w:szCs w:val="32"/>
        </w:rPr>
        <w:t>完成绩效目标的100%。</w:t>
      </w:r>
      <w:r>
        <w:rPr>
          <w:rFonts w:hint="eastAsia" w:ascii="仿宋_GB2312" w:eastAsia="仿宋_GB2312" w:cs="Times New Roman"/>
          <w:color w:val="000000" w:themeColor="text1"/>
          <w:sz w:val="32"/>
          <w:szCs w:val="32"/>
        </w:rPr>
        <w:t>通过绩效目标管理系统体系，提高了财政资源配置效率和资金使用效益，节约公共支出成本，促进政府效能和公共服务质量水平提升。</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2022年度部门预算报表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一、中共襄汾县委机构编制委员会办公室2022年预算收支总表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二、中共襄汾县委机构编制委员会办公室2022年预算收入总表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三、中共襄汾县委机构编制委员会办公室2022年预算支出总表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四、中共襄汾县委机构编制委员会办公室2022年财政拨款预算收支总表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五、中共襄汾县委机构编制委员会办公室2022年一般公共预算支出预算表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六、中共襄汾县委机构编制委员会办公室2022年一般公共预算安排基本支出部门经济分类表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七、中共襄汾县委机构编制委员会办公室2022年政府性基金收入预算表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八、中共襄汾县委机构编制委员会办公室2022年政府性基金支出预算表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九、中共襄汾县委机构编制委员会办公室2022年“三公”经费预算财政拨款情况表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十、中共襄汾县委机构编制委员会办公室2022年机关运行经费</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Times New Roman"/>
          <w:sz w:val="32"/>
          <w:szCs w:val="32"/>
        </w:rPr>
        <w:t>十一、中共襄汾县委机构编制委员会办公室</w:t>
      </w:r>
      <w:r>
        <w:rPr>
          <w:rFonts w:hint="eastAsia" w:ascii="仿宋_GB2312" w:hAnsi="仿宋_GB2312" w:eastAsia="仿宋_GB2312" w:cs="仿宋_GB2312"/>
          <w:sz w:val="32"/>
          <w:szCs w:val="32"/>
        </w:rPr>
        <w:t>2022年</w:t>
      </w:r>
      <w:r>
        <w:rPr>
          <w:rFonts w:hint="eastAsia" w:ascii="仿宋_GB2312" w:hAnsi="仿宋" w:eastAsia="仿宋_GB2312" w:cs="宋体"/>
          <w:kern w:val="0"/>
          <w:sz w:val="32"/>
          <w:szCs w:val="32"/>
        </w:rPr>
        <w:t>国有资本经营预算收支预算表</w:t>
      </w:r>
    </w:p>
    <w:p>
      <w:pPr>
        <w:widowControl/>
        <w:numPr>
          <w:ilvl w:val="0"/>
          <w:numId w:val="4"/>
        </w:numPr>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Times New Roman"/>
          <w:sz w:val="32"/>
          <w:szCs w:val="32"/>
        </w:rPr>
        <w:t>中共襄汾县委机构编制委员会办公室</w:t>
      </w:r>
      <w:r>
        <w:rPr>
          <w:rFonts w:hint="eastAsia" w:ascii="仿宋_GB2312" w:hAnsi="楷体" w:eastAsia="仿宋_GB2312"/>
          <w:kern w:val="0"/>
          <w:sz w:val="32"/>
          <w:szCs w:val="32"/>
        </w:rPr>
        <w:t>2022年政府采购预算资金明细表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十三、</w:t>
      </w:r>
      <w:r>
        <w:rPr>
          <w:rFonts w:hint="eastAsia" w:ascii="仿宋_GB2312" w:hAnsi="宋体" w:eastAsia="仿宋_GB2312" w:cs="Times New Roman"/>
          <w:sz w:val="32"/>
          <w:szCs w:val="32"/>
        </w:rPr>
        <w:t>中共襄汾县委机构编制委员会办公室2022年项目支出绩效目标表</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2022年度部门预算情况说明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中共襄汾县委机构编制委员会办公室2022年度收入、支出预算总计179.51万元，与上年相比收、支预算总计各减少23.02万元，减少11.37</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（一）收入预算总计179.51万元。包括：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．财政拨款收入预算总计179.51万元。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）一般公共预算收入预算179.51万元，与上年相比减少23.02万元，减少11.37</w:t>
      </w:r>
      <w:r>
        <w:rPr>
          <w:rFonts w:ascii="仿宋_GB2312" w:hAnsi="楷体" w:eastAsia="仿宋_GB2312"/>
          <w:kern w:val="0"/>
          <w:sz w:val="32"/>
          <w:szCs w:val="32"/>
        </w:rPr>
        <w:t>%</w:t>
      </w:r>
      <w:r>
        <w:rPr>
          <w:rFonts w:hint="eastAsia" w:ascii="仿宋_GB2312" w:hAnsi="楷体" w:eastAsia="仿宋_GB2312"/>
          <w:kern w:val="0"/>
          <w:sz w:val="32"/>
          <w:szCs w:val="32"/>
        </w:rPr>
        <w:t>。主要原因是人员调动使单位人员减少，人员工资预算减少。</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（二）支出预算总计179.51万元。包括：</w:t>
      </w:r>
    </w:p>
    <w:p>
      <w:pPr>
        <w:widowControl/>
        <w:spacing w:line="560" w:lineRule="exact"/>
        <w:ind w:firstLine="64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．一般公共服务（类）支出143.17万元，主要用于主要用于单位17名人员全年工资发放和本年度单位机构编制审改、事业运行评估及电子政务工作经费和机构域名年度管理费。与上年相比减少18.51万元，减少11.45</w:t>
      </w:r>
      <w:r>
        <w:rPr>
          <w:rFonts w:ascii="仿宋_GB2312" w:hAnsi="楷体" w:eastAsia="仿宋_GB2312"/>
          <w:kern w:val="0"/>
          <w:sz w:val="32"/>
          <w:szCs w:val="32"/>
        </w:rPr>
        <w:t xml:space="preserve"> %</w:t>
      </w:r>
      <w:r>
        <w:rPr>
          <w:rFonts w:hint="eastAsia" w:ascii="仿宋_GB2312" w:hAnsi="楷体" w:eastAsia="仿宋_GB2312"/>
          <w:kern w:val="0"/>
          <w:sz w:val="32"/>
          <w:szCs w:val="32"/>
        </w:rPr>
        <w:t>。主要原因是人员调动使单位人员减少，人员工资预算减少。</w:t>
      </w:r>
    </w:p>
    <w:p>
      <w:pPr>
        <w:widowControl/>
        <w:spacing w:line="580" w:lineRule="exact"/>
        <w:ind w:firstLine="641"/>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．社会保障和就业类支出18.42万元，主要用于在职人员养老保险、工伤保险、失业保险财补部分。与上年相比减少1.96万元，减少9.61</w:t>
      </w:r>
      <w:r>
        <w:rPr>
          <w:rFonts w:ascii="仿宋_GB2312" w:hAnsi="楷体" w:eastAsia="仿宋_GB2312"/>
          <w:kern w:val="0"/>
          <w:sz w:val="32"/>
          <w:szCs w:val="32"/>
        </w:rPr>
        <w:t xml:space="preserve"> %</w:t>
      </w:r>
      <w:r>
        <w:rPr>
          <w:rFonts w:hint="eastAsia" w:ascii="仿宋_GB2312" w:hAnsi="楷体" w:eastAsia="仿宋_GB2312"/>
          <w:kern w:val="0"/>
          <w:sz w:val="32"/>
          <w:szCs w:val="32"/>
        </w:rPr>
        <w:t>。主要原因是本单位人员工资调整缴费基数增加，人员调动使单位人员减少。</w:t>
      </w:r>
    </w:p>
    <w:p>
      <w:pPr>
        <w:widowControl/>
        <w:spacing w:line="580" w:lineRule="exact"/>
        <w:ind w:firstLine="640"/>
        <w:rPr>
          <w:rFonts w:ascii="仿宋_GB2312" w:hAnsi="楷体" w:eastAsia="仿宋_GB2312"/>
          <w:kern w:val="0"/>
          <w:sz w:val="32"/>
          <w:szCs w:val="32"/>
        </w:rPr>
      </w:pPr>
      <w:r>
        <w:rPr>
          <w:rFonts w:ascii="仿宋_GB2312" w:hAnsi="楷体" w:eastAsia="仿宋_GB2312"/>
          <w:kern w:val="0"/>
          <w:sz w:val="32"/>
          <w:szCs w:val="32"/>
        </w:rPr>
        <w:t xml:space="preserve">3. </w:t>
      </w:r>
      <w:r>
        <w:rPr>
          <w:rFonts w:hint="eastAsia" w:ascii="仿宋_GB2312" w:hAnsi="楷体" w:eastAsia="仿宋_GB2312"/>
          <w:kern w:val="0"/>
          <w:sz w:val="32"/>
          <w:szCs w:val="32"/>
        </w:rPr>
        <w:t>卫生健康支出7.86万元，主要用于医疗保险、生育保险财补部分。与上年相比减少1.06万元，减少11.88</w:t>
      </w:r>
      <w:r>
        <w:rPr>
          <w:rFonts w:ascii="仿宋_GB2312" w:hAnsi="楷体" w:eastAsia="仿宋_GB2312"/>
          <w:kern w:val="0"/>
          <w:sz w:val="32"/>
          <w:szCs w:val="32"/>
        </w:rPr>
        <w:t xml:space="preserve"> %</w:t>
      </w:r>
      <w:r>
        <w:rPr>
          <w:rFonts w:hint="eastAsia" w:ascii="仿宋_GB2312" w:hAnsi="楷体" w:eastAsia="仿宋_GB2312"/>
          <w:kern w:val="0"/>
          <w:sz w:val="32"/>
          <w:szCs w:val="32"/>
        </w:rPr>
        <w:t>。主要原因是本单位人员工资调整缴费基数增加，人员调动使单位人员减少。</w:t>
      </w:r>
    </w:p>
    <w:p>
      <w:pPr>
        <w:widowControl/>
        <w:spacing w:line="58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w:t>
      </w:r>
      <w:r>
        <w:rPr>
          <w:rFonts w:ascii="仿宋_GB2312" w:hAnsi="楷体" w:eastAsia="仿宋_GB2312"/>
          <w:kern w:val="0"/>
          <w:sz w:val="32"/>
          <w:szCs w:val="32"/>
        </w:rPr>
        <w:t xml:space="preserve">. </w:t>
      </w:r>
      <w:r>
        <w:rPr>
          <w:rFonts w:hint="eastAsia" w:ascii="仿宋_GB2312" w:hAnsi="楷体" w:eastAsia="仿宋_GB2312"/>
          <w:kern w:val="0"/>
          <w:sz w:val="32"/>
          <w:szCs w:val="32"/>
        </w:rPr>
        <w:t>住房保障支出10.06万元，主要用于住房公积金财补部分。与上年相比减少1.49万元，减少12.90</w:t>
      </w:r>
      <w:r>
        <w:rPr>
          <w:rFonts w:ascii="仿宋_GB2312" w:hAnsi="楷体" w:eastAsia="仿宋_GB2312"/>
          <w:kern w:val="0"/>
          <w:sz w:val="32"/>
          <w:szCs w:val="32"/>
        </w:rPr>
        <w:t xml:space="preserve"> % </w:t>
      </w:r>
      <w:r>
        <w:rPr>
          <w:rFonts w:hint="eastAsia" w:ascii="仿宋_GB2312" w:hAnsi="楷体" w:eastAsia="仿宋_GB2312"/>
          <w:kern w:val="0"/>
          <w:sz w:val="32"/>
          <w:szCs w:val="32"/>
        </w:rPr>
        <w:t>，主要原因是本单位今年人员工资有调整住房公积金缴费基数增加，人员调动使单位人员减少。</w:t>
      </w:r>
    </w:p>
    <w:p>
      <w:pPr>
        <w:widowControl/>
        <w:spacing w:line="580" w:lineRule="exact"/>
        <w:ind w:firstLine="640"/>
        <w:jc w:val="left"/>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．基本支出预算数为164.58万元。与上年相比减少23.62万元，减少12.55</w:t>
      </w:r>
      <w:r>
        <w:rPr>
          <w:rFonts w:ascii="仿宋_GB2312" w:hAnsi="楷体" w:eastAsia="仿宋_GB2312"/>
          <w:kern w:val="0"/>
          <w:sz w:val="32"/>
          <w:szCs w:val="32"/>
        </w:rPr>
        <w:t>%</w:t>
      </w:r>
      <w:r>
        <w:rPr>
          <w:rFonts w:hint="eastAsia" w:ascii="仿宋_GB2312" w:hAnsi="楷体" w:eastAsia="仿宋_GB2312"/>
          <w:kern w:val="0"/>
          <w:sz w:val="32"/>
          <w:szCs w:val="32"/>
        </w:rPr>
        <w:t>。主要原因是人员调动使单位人员减少，人员工资预算减少。项目支出预算数为14.93万元。与上年相比增加0.6万元，增长4.19</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。主要原因是本单位人头费有6人在人员公用经费中未提取出来，在补充公用经费项目中增加。</w:t>
      </w:r>
    </w:p>
    <w:p>
      <w:pPr>
        <w:widowControl/>
        <w:spacing w:line="58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8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中共襄汾县委机构编制委员会办公室本年收入预算合计179.51万元，其中：一般公共预算收入179.51万元，占100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；政府性基金预算收入0万元，占0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；财政专户管理资金0万元，占0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；国有资本经营预算收入0万元，占0%；其他资金0万元，占0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adjustRightInd w:val="0"/>
        <w:snapToGrid w:val="0"/>
        <w:spacing w:line="58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adjustRightInd w:val="0"/>
        <w:snapToGrid w:val="0"/>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中共襄汾县委机构编制委员会办公室本年支出预算合计179.51万元，其中：基本支出164.58万元，占91.68</w:t>
      </w:r>
      <w:r>
        <w:rPr>
          <w:rFonts w:ascii="仿宋_GB2312" w:hAnsi="楷体" w:eastAsia="仿宋_GB2312"/>
          <w:kern w:val="0"/>
          <w:sz w:val="32"/>
          <w:szCs w:val="32"/>
        </w:rPr>
        <w:t>%</w:t>
      </w:r>
      <w:r>
        <w:rPr>
          <w:rFonts w:hint="eastAsia" w:ascii="仿宋_GB2312" w:hAnsi="楷体" w:eastAsia="仿宋_GB2312"/>
          <w:kern w:val="0"/>
          <w:sz w:val="32"/>
          <w:szCs w:val="32"/>
        </w:rPr>
        <w:t>；项目支出14.93万元，占8.32</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中共襄汾县委机构编制委员会办公室2022年度财政拨款收、支总预算179.51万元。与上年相比，财政拨款收、支总计各减少23.02万元，减少11.37</w:t>
      </w:r>
      <w:r>
        <w:rPr>
          <w:rFonts w:ascii="仿宋_GB2312" w:hAnsi="楷体" w:eastAsia="仿宋_GB2312"/>
          <w:kern w:val="0"/>
          <w:sz w:val="32"/>
          <w:szCs w:val="32"/>
        </w:rPr>
        <w:t>%</w:t>
      </w:r>
      <w:r>
        <w:rPr>
          <w:rFonts w:hint="eastAsia" w:ascii="仿宋_GB2312" w:hAnsi="楷体" w:eastAsia="仿宋_GB2312"/>
          <w:kern w:val="0"/>
          <w:sz w:val="32"/>
          <w:szCs w:val="32"/>
        </w:rPr>
        <w:t>。主要原因是人员调动使单位人员减少，人员工资预算减少。</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中共襄汾县委机构编制委员会办公室2022年一般公共预算支出预算179.51万元，与上年减少23.02万元，减少11.37</w:t>
      </w:r>
      <w:r>
        <w:rPr>
          <w:rFonts w:ascii="仿宋_GB2312" w:hAnsi="楷体" w:eastAsia="仿宋_GB2312"/>
          <w:kern w:val="0"/>
          <w:sz w:val="32"/>
          <w:szCs w:val="32"/>
        </w:rPr>
        <w:t>%</w:t>
      </w:r>
      <w:r>
        <w:rPr>
          <w:rFonts w:hint="eastAsia" w:ascii="仿宋_GB2312" w:hAnsi="楷体" w:eastAsia="仿宋_GB2312"/>
          <w:kern w:val="0"/>
          <w:sz w:val="32"/>
          <w:szCs w:val="32"/>
        </w:rPr>
        <w:t>。主要原因是人员调动使单位人员减少，人员工资预算减少。</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六、一般公共预算基本支出</w:t>
      </w:r>
      <w:bookmarkStart w:id="0" w:name="_GoBack"/>
      <w:bookmarkEnd w:id="0"/>
      <w:r>
        <w:rPr>
          <w:rFonts w:hint="eastAsia" w:ascii="仿宋_GB2312" w:hAnsi="楷体" w:eastAsia="仿宋_GB2312"/>
          <w:kern w:val="0"/>
          <w:sz w:val="32"/>
          <w:szCs w:val="32"/>
        </w:rPr>
        <w:t>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中共襄汾县委机构编制委员会办公室2022年度一般公共预算基本支出预算164.58万元，其中：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153.28万元。主要包括：主要包括：基本工资64.46万元、津贴补贴38.08万元、绩效工资10万元、奖金4.33万元、机关事业单位基本养老保险缴费17.63万元、职工基本医疗保险缴费7.71万元、其他社会保障缴费0.49万元、住房保障支出10.06万元、对个人和家庭补助0.51万元。</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（二）公用经费11.31万元。主要包括：办公费1.83万元、其他交通费用9.48万元。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中共襄汾县委机构编制委员会办公室2022年政府性基金支出预算支出0万元。与上年相比增加（减少）0万元，增长（减少）0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widowControl/>
        <w:spacing w:line="560" w:lineRule="exact"/>
        <w:ind w:firstLine="640"/>
        <w:rPr>
          <w:rFonts w:ascii="仿宋_GB2312" w:hAnsi="仿宋" w:eastAsia="仿宋_GB2312"/>
          <w:kern w:val="0"/>
          <w:sz w:val="32"/>
          <w:szCs w:val="32"/>
        </w:rPr>
      </w:pPr>
      <w:r>
        <w:rPr>
          <w:rFonts w:hint="eastAsia" w:ascii="仿宋_GB2312" w:hAnsi="仿宋" w:eastAsia="仿宋_GB2312"/>
          <w:sz w:val="32"/>
          <w:szCs w:val="32"/>
        </w:rPr>
        <w:t>本部门无“三公”经费</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中共襄汾县委机构编制委员会办公室2022年度一般公共预算拨款安排的“三公”经费预算支出中，因公出国（境）费支出0万元，占“三公”经费的0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；公务用车购置及运行费支出0万元，占“三公”经费的0</w:t>
      </w:r>
      <w:r>
        <w:rPr>
          <w:rFonts w:ascii="仿宋_GB2312" w:hAnsi="楷体" w:eastAsia="仿宋_GB2312"/>
          <w:kern w:val="0"/>
          <w:sz w:val="32"/>
          <w:szCs w:val="32"/>
        </w:rPr>
        <w:t>%</w:t>
      </w:r>
      <w:r>
        <w:rPr>
          <w:rFonts w:hint="eastAsia" w:ascii="仿宋_GB2312" w:hAnsi="楷体" w:eastAsia="仿宋_GB2312"/>
          <w:kern w:val="0"/>
          <w:sz w:val="32"/>
          <w:szCs w:val="32"/>
        </w:rPr>
        <w:t>；公务接待费支出0万元，占“三公”经费的0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．因公出国（境）费预算支出0万元，比上年预算增加（减少）0万元。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．公务用车购置及运行费预算支出0万元。其中：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）公务用车购置预算支出0万元，比上年预算增加（减少）0万元。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）公务用车运行维护费预算支出0万元，比上年预算增加（减少）0万元。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．公务接待费预算支出0万元，比上年预算增加（减少）0万元。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hint="eastAsia" w:ascii="仿宋_GB2312" w:hAnsi="楷体" w:eastAsia="仿宋_GB2312"/>
          <w:kern w:val="0"/>
          <w:sz w:val="32"/>
          <w:szCs w:val="32"/>
        </w:rPr>
        <w:t>2022年本部门一般公共预算机关运行经费预算支出11.31万元，与上年相比减少3.02万元，降低21.07</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。主要原因是：本单位人员减少，其他交通费减少。</w:t>
      </w:r>
      <w:r>
        <w:rPr>
          <w:rFonts w:ascii="仿宋_GB2312" w:hAnsi="楷体" w:eastAsia="仿宋_GB2312"/>
          <w:kern w:val="0"/>
          <w:sz w:val="32"/>
          <w:szCs w:val="32"/>
        </w:rPr>
        <w:t xml:space="preserve"> </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2022年度政府采购支出预算总额4.07万元，其中：拟采购货物支出4.07万元、拟采购工程支出0万元、拟购买服务支出0万元。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本部门共有车辆0辆，其中，一般公务用车</w:t>
      </w:r>
      <w:r>
        <w:rPr>
          <w:rFonts w:ascii="仿宋_GB2312" w:hAnsi="楷体" w:eastAsia="仿宋_GB2312"/>
          <w:kern w:val="0"/>
          <w:sz w:val="32"/>
          <w:szCs w:val="32"/>
        </w:rPr>
        <w:t>0</w:t>
      </w:r>
      <w:r>
        <w:rPr>
          <w:rFonts w:hint="eastAsia" w:ascii="仿宋_GB2312" w:hAnsi="楷体" w:eastAsia="仿宋_GB2312"/>
          <w:kern w:val="0"/>
          <w:sz w:val="32"/>
          <w:szCs w:val="32"/>
        </w:rPr>
        <w:t>辆、执法执勤用车</w:t>
      </w:r>
      <w:r>
        <w:rPr>
          <w:rFonts w:ascii="仿宋_GB2312" w:hAnsi="楷体" w:eastAsia="仿宋_GB2312"/>
          <w:kern w:val="0"/>
          <w:sz w:val="32"/>
          <w:szCs w:val="32"/>
        </w:rPr>
        <w:t>0</w:t>
      </w:r>
      <w:r>
        <w:rPr>
          <w:rFonts w:hint="eastAsia" w:ascii="仿宋_GB2312" w:hAnsi="楷体" w:eastAsia="仿宋_GB2312"/>
          <w:kern w:val="0"/>
          <w:sz w:val="32"/>
          <w:szCs w:val="32"/>
        </w:rPr>
        <w:t>辆、特种专业技术用车</w:t>
      </w:r>
      <w:r>
        <w:rPr>
          <w:rFonts w:ascii="仿宋_GB2312" w:hAnsi="楷体" w:eastAsia="仿宋_GB2312"/>
          <w:kern w:val="0"/>
          <w:sz w:val="32"/>
          <w:szCs w:val="32"/>
        </w:rPr>
        <w:t>0</w:t>
      </w:r>
      <w:r>
        <w:rPr>
          <w:rFonts w:hint="eastAsia" w:ascii="仿宋_GB2312" w:hAnsi="楷体" w:eastAsia="仿宋_GB2312"/>
          <w:kern w:val="0"/>
          <w:sz w:val="32"/>
          <w:szCs w:val="32"/>
        </w:rPr>
        <w:t>辆、其他用车</w:t>
      </w:r>
      <w:r>
        <w:rPr>
          <w:rFonts w:ascii="仿宋_GB2312" w:hAnsi="楷体" w:eastAsia="仿宋_GB2312"/>
          <w:kern w:val="0"/>
          <w:sz w:val="32"/>
          <w:szCs w:val="32"/>
        </w:rPr>
        <w:t>0</w:t>
      </w:r>
      <w:r>
        <w:rPr>
          <w:rFonts w:hint="eastAsia" w:ascii="仿宋_GB2312" w:hAnsi="楷体" w:eastAsia="仿宋_GB2312"/>
          <w:kern w:val="0"/>
          <w:sz w:val="32"/>
          <w:szCs w:val="32"/>
        </w:rPr>
        <w:t>辆等。</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2022年度，本部门单位共5个项目纳入绩效目标管理，涉及财政性资金合计14.93万元；本部门单位整体支出（</w:t>
      </w:r>
      <w:r>
        <w:rPr>
          <w:rFonts w:hint="eastAsia" w:ascii="仿宋_GB2312" w:hAnsi="Wingdings 2" w:eastAsia="仿宋_GB2312"/>
          <w:color w:val="000000"/>
          <w:kern w:val="0"/>
          <w:sz w:val="32"/>
          <w:szCs w:val="32"/>
        </w:rPr>
        <w:sym w:font="Wingdings 2" w:char="F052"/>
      </w:r>
      <w:r>
        <w:rPr>
          <w:rFonts w:hint="eastAsia" w:ascii="仿宋_GB2312" w:hAnsi="楷体" w:eastAsia="仿宋_GB2312"/>
          <w:color w:val="000000"/>
          <w:kern w:val="0"/>
          <w:sz w:val="32"/>
          <w:szCs w:val="32"/>
        </w:rPr>
        <w:t>纳入、□未纳入</w:t>
      </w:r>
      <w:r>
        <w:rPr>
          <w:rFonts w:hint="eastAsia" w:ascii="仿宋_GB2312" w:hAnsi="楷体" w:eastAsia="仿宋_GB2312"/>
          <w:kern w:val="0"/>
          <w:sz w:val="32"/>
          <w:szCs w:val="32"/>
        </w:rPr>
        <w:t>）绩效目标管理，涉及财政性资金</w:t>
      </w:r>
      <w:r>
        <w:rPr>
          <w:rFonts w:ascii="仿宋_GB2312" w:hAnsi="楷体" w:eastAsia="仿宋_GB2312"/>
          <w:kern w:val="0"/>
          <w:sz w:val="32"/>
          <w:szCs w:val="32"/>
        </w:rPr>
        <w:t>14.</w:t>
      </w:r>
      <w:r>
        <w:rPr>
          <w:rFonts w:hint="eastAsia" w:ascii="仿宋_GB2312" w:hAnsi="楷体" w:eastAsia="仿宋_GB2312"/>
          <w:kern w:val="0"/>
          <w:sz w:val="32"/>
          <w:szCs w:val="32"/>
        </w:rPr>
        <w:t>93万元。</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本部门未使用政府债券</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（2）上年一般债券项目建设进度、运营情况等；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本部门未使用政府债券</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本部门未使用政府债券</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（2）上年专项债券对应项目建设进度、运营情况等；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本部门未使用政府债券</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（3）上年专项债券项目收益及对应形成的资产情况；</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本部门未使用政府债券</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4</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A419EF12"/>
    <w:multiLevelType w:val="singleLevel"/>
    <w:tmpl w:val="A419EF12"/>
    <w:lvl w:ilvl="0" w:tentative="0">
      <w:start w:val="1"/>
      <w:numFmt w:val="chineseCounting"/>
      <w:suff w:val="nothing"/>
      <w:lvlText w:val="(%1）"/>
      <w:lvlJc w:val="left"/>
      <w:rPr>
        <w:rFonts w:hint="eastAsia"/>
      </w:rPr>
    </w:lvl>
  </w:abstractNum>
  <w:abstractNum w:abstractNumId="2">
    <w:nsid w:val="03E745BB"/>
    <w:multiLevelType w:val="singleLevel"/>
    <w:tmpl w:val="03E745BB"/>
    <w:lvl w:ilvl="0" w:tentative="0">
      <w:start w:val="2"/>
      <w:numFmt w:val="chineseCounting"/>
      <w:suff w:val="nothing"/>
      <w:lvlText w:val="（%1）"/>
      <w:lvlJc w:val="left"/>
      <w:rPr>
        <w:rFonts w:hint="eastAsia"/>
      </w:rPr>
    </w:lvl>
  </w:abstractNum>
  <w:abstractNum w:abstractNumId="3">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67AE"/>
    <w:rsid w:val="00012A0E"/>
    <w:rsid w:val="000F5C27"/>
    <w:rsid w:val="001C6D91"/>
    <w:rsid w:val="00237BFD"/>
    <w:rsid w:val="00241BA5"/>
    <w:rsid w:val="002B245E"/>
    <w:rsid w:val="002C0DA0"/>
    <w:rsid w:val="00314382"/>
    <w:rsid w:val="0039665D"/>
    <w:rsid w:val="003F0989"/>
    <w:rsid w:val="00A33B3F"/>
    <w:rsid w:val="00A60511"/>
    <w:rsid w:val="00A718CE"/>
    <w:rsid w:val="00AD0935"/>
    <w:rsid w:val="00B01D65"/>
    <w:rsid w:val="00B3288E"/>
    <w:rsid w:val="00BD34B8"/>
    <w:rsid w:val="00D25C26"/>
    <w:rsid w:val="00D96BA1"/>
    <w:rsid w:val="00EB4500"/>
    <w:rsid w:val="00EF1C6F"/>
    <w:rsid w:val="00F267AE"/>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5FDF488D"/>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5804EC"/>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rPr>
      <w:rFonts w:ascii="Times New Roman" w:hAnsi="Times New Roman"/>
      <w:szCs w:val="24"/>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746</Words>
  <Characters>4253</Characters>
  <Lines>35</Lines>
  <Paragraphs>9</Paragraphs>
  <TotalTime>349</TotalTime>
  <ScaleCrop>false</ScaleCrop>
  <LinksUpToDate>false</LinksUpToDate>
  <CharactersWithSpaces>4990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2020-05-19T11:47:00Z</cp:lastPrinted>
  <dcterms:modified xsi:type="dcterms:W3CDTF">2025-02-12T09:16:53Z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