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中国人民政治协商会议襄汾县委员会办公室2022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楷体" w:eastAsia="仿宋_GB2312"/>
          <w:kern w:val="0"/>
          <w:sz w:val="32"/>
          <w:szCs w:val="32"/>
          <w:lang w:val="en-US" w:eastAsia="zh-CN"/>
        </w:rPr>
      </w:pPr>
      <w:r>
        <w:rPr>
          <w:rFonts w:hint="eastAsia" w:ascii="仿宋_GB2312" w:hAnsi="仿宋_GB2312" w:eastAsia="仿宋_GB2312" w:cs="仿宋_GB2312"/>
          <w:color w:val="auto"/>
          <w:sz w:val="32"/>
          <w:szCs w:val="32"/>
          <w:lang w:val="en-US" w:eastAsia="zh-CN"/>
        </w:rPr>
        <w:t>组织全县各界人士以党的基本路线和我县的中心工作为重心，积极开展政治协商、民主监督、参政议政、组织委员视察、调研等工作，搞好提案的征集、交办、事后回访等事项，负责我县历史典故、文化遗迹等历史材料的收集、整理、出版工作，完成上级政协安排的各项工作，反应社会各界人士的社情民意，组织召开全委会常委会等会议，完成县委安排的各项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36"/>
        <w:jc w:val="both"/>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根据部门职责分工，本部门内设机构包括</w:t>
      </w:r>
      <w:r>
        <w:rPr>
          <w:rFonts w:hint="eastAsia" w:ascii="仿宋_GB2312" w:hAnsi="仿宋_GB2312" w:eastAsia="仿宋_GB2312" w:cs="仿宋_GB2312"/>
          <w:color w:val="auto"/>
          <w:sz w:val="32"/>
          <w:szCs w:val="32"/>
          <w:lang w:val="en-US" w:eastAsia="zh-CN"/>
        </w:rPr>
        <w:t>学宣文史委、经济城建委、农村委、提案委、科教文体委、办公室、调研室</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。本部门下属单位包括：</w:t>
      </w:r>
      <w:r>
        <w:rPr>
          <w:rFonts w:hint="eastAsia" w:ascii="仿宋_GB2312" w:hAnsi="楷体" w:eastAsia="仿宋_GB2312"/>
          <w:b w:val="0"/>
          <w:bCs w:val="0"/>
          <w:color w:val="auto"/>
          <w:kern w:val="0"/>
          <w:sz w:val="32"/>
          <w:szCs w:val="32"/>
          <w:lang w:eastAsia="zh-CN"/>
        </w:rPr>
        <w:t>襄汾县政协信息中心</w:t>
      </w:r>
      <w:r>
        <w:rPr>
          <w:rFonts w:hint="eastAsia" w:ascii="仿宋_GB2312" w:hAnsi="楷体" w:eastAsia="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eastAsia="zh-CN"/>
        </w:rPr>
        <w:t>一</w:t>
      </w:r>
      <w:r>
        <w:rPr>
          <w:rFonts w:hint="eastAsia" w:ascii="仿宋_GB2312" w:hAnsi="楷体" w:eastAsia="仿宋_GB2312"/>
          <w:kern w:val="0"/>
          <w:sz w:val="32"/>
          <w:szCs w:val="32"/>
        </w:rPr>
        <w:t>家</w:t>
      </w:r>
      <w:r>
        <w:rPr>
          <w:rFonts w:hint="eastAsia" w:ascii="仿宋_GB2312" w:hAnsi="楷体" w:eastAsia="仿宋_GB2312"/>
          <w:kern w:val="0"/>
          <w:sz w:val="32"/>
          <w:szCs w:val="32"/>
          <w:lang w:eastAsia="zh-CN"/>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pStyle w:val="5"/>
        <w:widowControl/>
        <w:shd w:val="clear" w:color="auto" w:fill="FFFFFF"/>
        <w:spacing w:before="0" w:beforeAutospacing="0" w:after="0" w:afterAutospacing="0" w:line="560" w:lineRule="exact"/>
        <w:ind w:firstLine="640" w:firstLineChars="200"/>
        <w:jc w:val="both"/>
        <w:rPr>
          <w:rFonts w:hint="eastAsia" w:ascii="仿宋_GB2312" w:hAnsi="宋体" w:eastAsia="仿宋_GB2312" w:cs="宋体"/>
          <w:b w:val="0"/>
          <w:bCs w:val="0"/>
          <w:color w:val="000000"/>
          <w:sz w:val="32"/>
          <w:szCs w:val="32"/>
          <w:shd w:val="clear" w:color="auto" w:fill="FFFFFF"/>
          <w:lang w:eastAsia="zh-CN"/>
        </w:rPr>
      </w:pPr>
      <w:r>
        <w:rPr>
          <w:rFonts w:hint="eastAsia" w:ascii="仿宋" w:hAnsi="仿宋" w:eastAsia="仿宋" w:cs="仿宋"/>
          <w:bCs/>
          <w:color w:val="000000"/>
          <w:sz w:val="32"/>
          <w:szCs w:val="32"/>
          <w:shd w:val="clear" w:color="auto" w:fill="FFFFFF"/>
          <w:lang w:val="en-US" w:eastAsia="zh-CN"/>
        </w:rPr>
        <w:t>1、</w:t>
      </w:r>
      <w:r>
        <w:rPr>
          <w:rFonts w:hint="eastAsia" w:ascii="仿宋" w:hAnsi="仿宋" w:eastAsia="仿宋" w:cs="仿宋"/>
          <w:bCs/>
          <w:color w:val="000000"/>
          <w:sz w:val="32"/>
          <w:szCs w:val="32"/>
          <w:shd w:val="clear" w:color="auto" w:fill="FFFFFF"/>
        </w:rPr>
        <w:t>强化理论学习 彰显“政协站位”</w:t>
      </w:r>
      <w:r>
        <w:rPr>
          <w:rFonts w:hint="eastAsia" w:ascii="仿宋" w:hAnsi="仿宋" w:eastAsia="仿宋" w:cs="仿宋"/>
          <w:bCs/>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人民政协作为政治组织，政治属性是第一位的，讲政治是政协工作的本质要求。讲政治，就要立场坚定，坚持党的领导；就要信仰真理，提升政治能力，而贯穿其中的关键在于学习。政协采取了多种学习方式，强化理论武装、把握发展大势、提升履职能力，坚定不移跟党走。</w:t>
      </w:r>
      <w:r>
        <w:rPr>
          <w:rFonts w:hint="eastAsia" w:ascii="仿宋_GB2312" w:hAnsi="宋体" w:eastAsia="仿宋_GB2312" w:cs="宋体"/>
          <w:b w:val="0"/>
          <w:bCs w:val="0"/>
          <w:color w:val="000000"/>
          <w:sz w:val="32"/>
          <w:szCs w:val="32"/>
          <w:shd w:val="clear" w:color="auto" w:fill="FFFFFF"/>
        </w:rPr>
        <w:t>以讲促学</w:t>
      </w:r>
      <w:r>
        <w:rPr>
          <w:rFonts w:hint="eastAsia" w:ascii="仿宋_GB2312" w:hAnsi="宋体" w:eastAsia="仿宋_GB2312" w:cs="宋体"/>
          <w:b w:val="0"/>
          <w:bCs w:val="0"/>
          <w:color w:val="000000"/>
          <w:sz w:val="32"/>
          <w:szCs w:val="32"/>
          <w:shd w:val="clear" w:color="auto" w:fill="FFFFFF"/>
          <w:lang w:eastAsia="zh-CN"/>
        </w:rPr>
        <w:t>、</w:t>
      </w:r>
      <w:r>
        <w:rPr>
          <w:rFonts w:hint="eastAsia" w:ascii="仿宋_GB2312" w:hAnsi="宋体" w:eastAsia="仿宋_GB2312" w:cs="宋体"/>
          <w:b w:val="0"/>
          <w:bCs w:val="0"/>
          <w:color w:val="000000"/>
          <w:sz w:val="32"/>
          <w:szCs w:val="32"/>
          <w:shd w:val="clear" w:color="auto" w:fill="FFFFFF"/>
        </w:rPr>
        <w:t>以微传学</w:t>
      </w:r>
      <w:r>
        <w:rPr>
          <w:rFonts w:hint="eastAsia" w:ascii="仿宋_GB2312" w:hAnsi="宋体" w:eastAsia="仿宋_GB2312" w:cs="宋体"/>
          <w:b w:val="0"/>
          <w:bCs w:val="0"/>
          <w:color w:val="000000"/>
          <w:sz w:val="32"/>
          <w:szCs w:val="32"/>
          <w:shd w:val="clear" w:color="auto" w:fill="FFFFFF"/>
          <w:lang w:eastAsia="zh-CN"/>
        </w:rPr>
        <w:t>、</w:t>
      </w:r>
      <w:r>
        <w:rPr>
          <w:rFonts w:hint="eastAsia" w:ascii="仿宋_GB2312" w:hAnsi="宋体" w:eastAsia="仿宋_GB2312" w:cs="宋体"/>
          <w:b w:val="0"/>
          <w:bCs w:val="0"/>
          <w:color w:val="000000"/>
          <w:sz w:val="32"/>
          <w:szCs w:val="32"/>
          <w:shd w:val="clear" w:color="auto" w:fill="FFFFFF"/>
        </w:rPr>
        <w:t>以学促干</w:t>
      </w:r>
      <w:r>
        <w:rPr>
          <w:rFonts w:hint="eastAsia" w:ascii="仿宋_GB2312" w:hAnsi="宋体" w:eastAsia="仿宋_GB2312" w:cs="宋体"/>
          <w:b w:val="0"/>
          <w:bCs w:val="0"/>
          <w:color w:val="000000"/>
          <w:sz w:val="32"/>
          <w:szCs w:val="32"/>
          <w:shd w:val="clear" w:color="auto" w:fill="FFFFFF"/>
          <w:lang w:eastAsia="zh-CN"/>
        </w:rPr>
        <w:t>。</w:t>
      </w:r>
    </w:p>
    <w:p>
      <w:pPr>
        <w:pStyle w:val="5"/>
        <w:widowControl/>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rPr>
      </w:pPr>
      <w:r>
        <w:rPr>
          <w:rFonts w:hint="eastAsia" w:ascii="仿宋" w:hAnsi="仿宋" w:eastAsia="仿宋" w:cs="仿宋"/>
          <w:bCs/>
          <w:color w:val="000000"/>
          <w:sz w:val="32"/>
          <w:szCs w:val="32"/>
          <w:shd w:val="clear" w:color="auto" w:fill="FFFFFF"/>
          <w:lang w:val="en-US" w:eastAsia="zh-CN"/>
        </w:rPr>
        <w:t>2、</w:t>
      </w:r>
      <w:r>
        <w:rPr>
          <w:rFonts w:hint="eastAsia" w:ascii="仿宋" w:hAnsi="仿宋" w:eastAsia="仿宋" w:cs="仿宋"/>
          <w:bCs/>
          <w:color w:val="000000"/>
          <w:sz w:val="32"/>
          <w:szCs w:val="32"/>
          <w:shd w:val="clear" w:color="auto" w:fill="FFFFFF"/>
        </w:rPr>
        <w:t xml:space="preserve">强化履职尽责 </w:t>
      </w:r>
      <w:r>
        <w:rPr>
          <w:rFonts w:hint="eastAsia" w:ascii="仿宋" w:hAnsi="仿宋" w:eastAsia="仿宋" w:cs="仿宋"/>
          <w:bCs/>
          <w:color w:val="000000"/>
          <w:sz w:val="32"/>
          <w:szCs w:val="32"/>
          <w:shd w:val="clear" w:color="auto" w:fill="FFFFFF"/>
          <w:lang w:val="en-US" w:eastAsia="zh-CN"/>
        </w:rPr>
        <w:t>,</w:t>
      </w:r>
      <w:r>
        <w:rPr>
          <w:rFonts w:hint="eastAsia" w:ascii="仿宋" w:hAnsi="仿宋" w:eastAsia="仿宋" w:cs="仿宋"/>
          <w:bCs/>
          <w:color w:val="000000"/>
          <w:sz w:val="32"/>
          <w:szCs w:val="32"/>
          <w:shd w:val="clear" w:color="auto" w:fill="FFFFFF"/>
        </w:rPr>
        <w:t>发挥“政协效能”</w:t>
      </w:r>
      <w:r>
        <w:rPr>
          <w:rFonts w:hint="eastAsia" w:ascii="仿宋" w:hAnsi="仿宋" w:eastAsia="仿宋" w:cs="仿宋"/>
          <w:color w:val="000000"/>
          <w:sz w:val="32"/>
          <w:szCs w:val="32"/>
          <w:shd w:val="clear" w:color="auto" w:fill="FFFFFF"/>
        </w:rPr>
        <w:t>着眼全市“省域副中心城市重要功能区建设”，围绕全县“一五五”工作思路等中心工作建言资政，为党政科学民主决策提供更多高质量</w:t>
      </w:r>
      <w:r>
        <w:rPr>
          <w:rFonts w:hint="eastAsia" w:ascii="仿宋_GB2312" w:hAnsi="宋体" w:eastAsia="仿宋_GB2312" w:cs="宋体"/>
          <w:color w:val="000000"/>
          <w:sz w:val="32"/>
          <w:szCs w:val="32"/>
          <w:shd w:val="clear" w:color="auto" w:fill="FFFFFF"/>
        </w:rPr>
        <w:t>的参考。</w:t>
      </w:r>
    </w:p>
    <w:p>
      <w:pPr>
        <w:widowControl/>
        <w:spacing w:line="560" w:lineRule="exact"/>
        <w:ind w:firstLine="636"/>
        <w:rPr>
          <w:rFonts w:hint="eastAsia" w:ascii="仿宋_GB2312" w:hAnsi="楷体" w:eastAsia="仿宋_GB2312"/>
          <w:kern w:val="0"/>
          <w:sz w:val="32"/>
          <w:szCs w:val="32"/>
        </w:rPr>
      </w:pPr>
      <w:r>
        <w:rPr>
          <w:rStyle w:val="10"/>
          <w:rFonts w:hint="eastAsia" w:ascii="仿宋" w:hAnsi="仿宋" w:eastAsia="仿宋" w:cs="仿宋"/>
          <w:b w:val="0"/>
          <w:bCs w:val="0"/>
          <w:color w:val="000000"/>
          <w:sz w:val="32"/>
          <w:szCs w:val="32"/>
          <w:lang w:val="en-US" w:eastAsia="zh-CN"/>
        </w:rPr>
        <w:t>3、</w:t>
      </w:r>
      <w:r>
        <w:rPr>
          <w:rStyle w:val="10"/>
          <w:rFonts w:hint="eastAsia" w:ascii="仿宋" w:hAnsi="仿宋" w:eastAsia="仿宋" w:cs="仿宋"/>
          <w:b w:val="0"/>
          <w:bCs w:val="0"/>
          <w:color w:val="000000"/>
          <w:sz w:val="32"/>
          <w:szCs w:val="32"/>
        </w:rPr>
        <w:t>强化为民意识，助力“民生改善”。</w:t>
      </w:r>
      <w:r>
        <w:rPr>
          <w:rFonts w:hint="eastAsia" w:ascii="仿宋" w:hAnsi="仿宋" w:eastAsia="仿宋"/>
          <w:sz w:val="32"/>
          <w:szCs w:val="32"/>
        </w:rPr>
        <w:t>坚持把</w:t>
      </w:r>
      <w:r>
        <w:rPr>
          <w:rFonts w:hint="eastAsia" w:ascii="仿宋" w:hAnsi="仿宋" w:eastAsia="仿宋" w:cs="仿宋"/>
          <w:sz w:val="32"/>
          <w:szCs w:val="32"/>
        </w:rPr>
        <w:t>党史学习教育同解决群众实际困难结合起来，建立领导班子、委室主任、委员三个层面的“我为群众办实事”台账，班子成员率先垂范，委室主任身体力行，委员积极主动。</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中国人民政治协商会议襄汾县委员会办公室</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lang w:val="en-US" w:eastAsia="zh-CN"/>
        </w:rPr>
        <w:t>442.54</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104.2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24</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442.54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442.54</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442.54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104.2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人员工资总体增加，新增人员</w:t>
      </w:r>
      <w:r>
        <w:rPr>
          <w:rFonts w:hint="eastAsia" w:ascii="仿宋_GB2312" w:hAnsi="楷体" w:eastAsia="仿宋_GB2312"/>
          <w:kern w:val="0"/>
          <w:sz w:val="32"/>
          <w:szCs w:val="32"/>
          <w:lang w:val="en-US" w:eastAsia="zh-CN"/>
        </w:rPr>
        <w:t>9人</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lang w:eastAsia="zh-CN"/>
        </w:rPr>
        <w:t>，主要原因是本单位不存在相关情况。</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lang w:eastAsia="zh-CN"/>
        </w:rPr>
        <w:t>，主要原因是本单位不存在相关情况。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w:t>
      </w:r>
      <w:r>
        <w:rPr>
          <w:rFonts w:hint="eastAsia" w:ascii="仿宋_GB2312" w:hAnsi="楷体" w:eastAsia="仿宋_GB2312"/>
          <w:kern w:val="0"/>
          <w:sz w:val="32"/>
          <w:szCs w:val="32"/>
          <w:lang w:eastAsia="zh-CN"/>
        </w:rPr>
        <w:t>要原因是本单位不存在相关情况。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442.54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345.49</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单位行政、事业人员工资支出，全委会会议支出，委员学习、调研视察及机关的正常运行</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80.39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人员工资整体增加，单位新增人员</w:t>
      </w:r>
      <w:r>
        <w:rPr>
          <w:rFonts w:hint="eastAsia" w:ascii="仿宋_GB2312" w:hAnsi="楷体" w:eastAsia="仿宋_GB2312"/>
          <w:kern w:val="0"/>
          <w:sz w:val="32"/>
          <w:szCs w:val="32"/>
          <w:lang w:val="en-US" w:eastAsia="zh-CN"/>
        </w:rPr>
        <w:t>9人，安排委员视察调研活动增加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w:t>
      </w:r>
      <w:r>
        <w:rPr>
          <w:rFonts w:hint="eastAsia" w:ascii="仿宋_GB2312" w:hAnsi="楷体" w:eastAsia="仿宋_GB2312"/>
          <w:kern w:val="0"/>
          <w:sz w:val="32"/>
          <w:szCs w:val="32"/>
          <w:lang w:eastAsia="zh-CN"/>
        </w:rPr>
        <w:t>要原因是本单位不存在相关情况。</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365.54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104.2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29</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是上年度单位新增人员</w:t>
      </w:r>
      <w:r>
        <w:rPr>
          <w:rFonts w:hint="eastAsia" w:ascii="仿宋_GB2312" w:hAnsi="楷体" w:eastAsia="仿宋_GB2312"/>
          <w:kern w:val="0"/>
          <w:sz w:val="32"/>
          <w:szCs w:val="32"/>
          <w:lang w:val="en-US" w:eastAsia="zh-CN"/>
        </w:rPr>
        <w:t>9人</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77</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本年度项目支出预算没有变化</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中国人民政治协商会议襄汾县委员会办公室</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lang w:val="en-US" w:eastAsia="zh-CN"/>
        </w:rPr>
        <w:t>442.54</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442.54</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中国人民政治协商会议襄汾县委员会办公室</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442.54</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365.54</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83</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77</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17</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中国人民政治协商会议襄汾县委员会办公室2022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lang w:val="en-US" w:eastAsia="zh-CN"/>
        </w:rPr>
        <w:t>442.54</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104.2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人员工资总体增加，新增人员</w:t>
      </w:r>
      <w:r>
        <w:rPr>
          <w:rFonts w:hint="eastAsia" w:ascii="仿宋_GB2312" w:hAnsi="楷体" w:eastAsia="仿宋_GB2312"/>
          <w:kern w:val="0"/>
          <w:sz w:val="32"/>
          <w:szCs w:val="32"/>
          <w:lang w:val="en-US" w:eastAsia="zh-CN"/>
        </w:rPr>
        <w:t>9人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中国人民政治协商会议襄汾县委员会办公室2022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442.54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104.2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24</w:t>
      </w:r>
      <w:bookmarkStart w:id="0" w:name="_GoBack"/>
      <w:bookmarkEnd w:id="0"/>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人员工资总体增加，新增人员</w:t>
      </w:r>
      <w:r>
        <w:rPr>
          <w:rFonts w:hint="eastAsia" w:ascii="仿宋_GB2312" w:hAnsi="楷体" w:eastAsia="仿宋_GB2312"/>
          <w:kern w:val="0"/>
          <w:sz w:val="32"/>
          <w:szCs w:val="32"/>
          <w:lang w:val="en-US" w:eastAsia="zh-CN"/>
        </w:rPr>
        <w:t>9人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中国人民政治协商会议襄汾县委员会办公室2022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365.54</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339.11</w:t>
      </w:r>
      <w:r>
        <w:rPr>
          <w:rFonts w:hint="eastAsia" w:ascii="仿宋_GB2312" w:hAnsi="楷体" w:eastAsia="仿宋_GB2312"/>
          <w:kern w:val="0"/>
          <w:sz w:val="32"/>
          <w:szCs w:val="32"/>
        </w:rPr>
        <w:t>万元。主要包括：基本工资、津贴补贴、奖金、绩效工资、</w:t>
      </w:r>
      <w:r>
        <w:rPr>
          <w:rFonts w:hint="eastAsia" w:ascii="仿宋_GB2312" w:hAnsi="楷体" w:eastAsia="仿宋_GB2312"/>
          <w:kern w:val="0"/>
          <w:sz w:val="32"/>
          <w:szCs w:val="32"/>
          <w:lang w:eastAsia="zh-CN"/>
        </w:rPr>
        <w:t>机关事业单位基本养老保险缴费、职工基本医疗保险缴费、其他社会保障缴费、</w:t>
      </w:r>
      <w:r>
        <w:rPr>
          <w:rFonts w:hint="eastAsia" w:ascii="仿宋_GB2312" w:hAnsi="楷体" w:eastAsia="仿宋_GB2312"/>
          <w:kern w:val="0"/>
          <w:sz w:val="32"/>
          <w:szCs w:val="32"/>
        </w:rPr>
        <w:t>住房公积金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其他工资福利支出、离休费、退休费、生活补助、奖励金、其他对个人和家庭的补助支出。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26.43</w:t>
      </w:r>
      <w:r>
        <w:rPr>
          <w:rFonts w:hint="eastAsia" w:ascii="仿宋_GB2312" w:hAnsi="楷体" w:eastAsia="仿宋_GB2312"/>
          <w:kern w:val="0"/>
          <w:sz w:val="32"/>
          <w:szCs w:val="32"/>
        </w:rPr>
        <w:t>万元办公费、其他交通费用。</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中国人民政治协商会议襄汾县委员会办公室2022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w:t>
      </w:r>
      <w:r>
        <w:rPr>
          <w:rFonts w:hint="eastAsia" w:ascii="仿宋_GB2312" w:hAnsi="楷体" w:eastAsia="仿宋_GB2312"/>
          <w:kern w:val="0"/>
          <w:sz w:val="32"/>
          <w:szCs w:val="32"/>
          <w:lang w:eastAsia="zh-CN"/>
        </w:rPr>
        <w:t>要原因是本单位不存在相关情况。</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中国人民政治协商会议襄汾县委员会办公室2022</w:t>
      </w:r>
      <w:r>
        <w:rPr>
          <w:rFonts w:hint="eastAsia" w:ascii="仿宋_GB2312" w:hAnsi="楷体" w:eastAsia="仿宋_GB2312"/>
          <w:color w:val="auto"/>
          <w:kern w:val="0"/>
          <w:sz w:val="32"/>
          <w:szCs w:val="32"/>
        </w:rPr>
        <w:t>年度一般公共预算拨款安排的“三公”经费预算支出中，因公出国（境）费支出</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万元，占“三公”经费的</w:t>
      </w:r>
      <w:r>
        <w:rPr>
          <w:rFonts w:hint="eastAsia" w:ascii="仿宋_GB2312" w:hAnsi="楷体" w:eastAsia="仿宋_GB2312"/>
          <w:color w:val="auto"/>
          <w:kern w:val="0"/>
          <w:sz w:val="32"/>
          <w:szCs w:val="32"/>
          <w:lang w:val="en-US" w:eastAsia="zh-CN"/>
        </w:rPr>
        <w:t>0</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；公务用车购置及运行费支出</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万元，占“三公”经费的</w:t>
      </w:r>
      <w:r>
        <w:rPr>
          <w:rFonts w:hint="eastAsia" w:ascii="仿宋_GB2312" w:hAnsi="楷体" w:eastAsia="仿宋_GB2312"/>
          <w:color w:val="auto"/>
          <w:kern w:val="0"/>
          <w:sz w:val="32"/>
          <w:szCs w:val="32"/>
          <w:lang w:val="en-US" w:eastAsia="zh-CN"/>
        </w:rPr>
        <w:t>0</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；公务接待费支出</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万元，占“三公”经费的</w:t>
      </w:r>
      <w:r>
        <w:rPr>
          <w:rFonts w:hint="eastAsia" w:ascii="仿宋_GB2312" w:hAnsi="楷体" w:eastAsia="仿宋_GB2312"/>
          <w:color w:val="auto"/>
          <w:kern w:val="0"/>
          <w:sz w:val="32"/>
          <w:szCs w:val="32"/>
          <w:lang w:val="en-US" w:eastAsia="zh-CN"/>
        </w:rPr>
        <w:t>0</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。具体情况如下：</w:t>
      </w:r>
    </w:p>
    <w:p>
      <w:pPr>
        <w:autoSpaceDE w:val="0"/>
        <w:autoSpaceDN w:val="0"/>
        <w:adjustRightInd w:val="0"/>
        <w:ind w:firstLine="640" w:firstLineChars="200"/>
        <w:jc w:val="left"/>
        <w:rPr>
          <w:rFonts w:ascii="仿宋_GB2312" w:hAnsi="楷体" w:eastAsia="仿宋_GB2312"/>
          <w:color w:val="auto"/>
          <w:kern w:val="0"/>
          <w:sz w:val="32"/>
          <w:szCs w:val="32"/>
        </w:rPr>
      </w:pP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．因公出国（境）费预算支出</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万元，比上年预算增加（减少）</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w:t>
      </w:r>
    </w:p>
    <w:p>
      <w:pPr>
        <w:autoSpaceDE w:val="0"/>
        <w:autoSpaceDN w:val="0"/>
        <w:adjustRightInd w:val="0"/>
        <w:ind w:firstLine="640" w:firstLineChars="200"/>
        <w:jc w:val="left"/>
        <w:rPr>
          <w:rFonts w:ascii="仿宋_GB2312" w:hAnsi="楷体" w:eastAsia="仿宋_GB2312"/>
          <w:color w:val="auto"/>
          <w:kern w:val="0"/>
          <w:sz w:val="32"/>
          <w:szCs w:val="32"/>
        </w:rPr>
      </w:pPr>
      <w:r>
        <w:rPr>
          <w:rFonts w:ascii="仿宋_GB2312" w:hAnsi="楷体" w:eastAsia="仿宋_GB2312"/>
          <w:color w:val="auto"/>
          <w:kern w:val="0"/>
          <w:sz w:val="32"/>
          <w:szCs w:val="32"/>
        </w:rPr>
        <w:t>2</w:t>
      </w:r>
      <w:r>
        <w:rPr>
          <w:rFonts w:hint="eastAsia" w:ascii="仿宋_GB2312" w:hAnsi="楷体" w:eastAsia="仿宋_GB2312"/>
          <w:color w:val="auto"/>
          <w:kern w:val="0"/>
          <w:sz w:val="32"/>
          <w:szCs w:val="32"/>
        </w:rPr>
        <w:t>．公务用车购置及运行费预算支出</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万元。其中：</w:t>
      </w:r>
    </w:p>
    <w:p>
      <w:pPr>
        <w:autoSpaceDE w:val="0"/>
        <w:autoSpaceDN w:val="0"/>
        <w:adjustRightInd w:val="0"/>
        <w:ind w:firstLine="480" w:firstLineChars="150"/>
        <w:jc w:val="left"/>
        <w:rPr>
          <w:rFonts w:ascii="仿宋_GB2312" w:hAnsi="楷体" w:eastAsia="仿宋_GB2312"/>
          <w:color w:val="auto"/>
          <w:kern w:val="0"/>
          <w:sz w:val="32"/>
          <w:szCs w:val="32"/>
        </w:rPr>
      </w:pPr>
      <w:r>
        <w:rPr>
          <w:rFonts w:hint="eastAsia" w:ascii="仿宋_GB2312" w:hAnsi="楷体" w:eastAsia="仿宋_GB2312"/>
          <w:color w:val="auto"/>
          <w:kern w:val="0"/>
          <w:sz w:val="32"/>
          <w:szCs w:val="32"/>
        </w:rPr>
        <w:t>（</w:t>
      </w: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）公务用车购置预算支出</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万元，比上年预算增加（减少）</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w:t>
      </w:r>
    </w:p>
    <w:p>
      <w:pPr>
        <w:autoSpaceDE w:val="0"/>
        <w:autoSpaceDN w:val="0"/>
        <w:adjustRightInd w:val="0"/>
        <w:ind w:firstLine="480" w:firstLineChars="150"/>
        <w:jc w:val="left"/>
        <w:rPr>
          <w:rFonts w:ascii="仿宋_GB2312" w:hAnsi="楷体" w:eastAsia="仿宋_GB2312"/>
          <w:color w:val="auto"/>
          <w:kern w:val="0"/>
          <w:sz w:val="32"/>
          <w:szCs w:val="32"/>
        </w:rPr>
      </w:pPr>
      <w:r>
        <w:rPr>
          <w:rFonts w:hint="eastAsia" w:ascii="仿宋_GB2312" w:hAnsi="楷体" w:eastAsia="仿宋_GB2312"/>
          <w:color w:val="auto"/>
          <w:kern w:val="0"/>
          <w:sz w:val="32"/>
          <w:szCs w:val="32"/>
        </w:rPr>
        <w:t>（</w:t>
      </w:r>
      <w:r>
        <w:rPr>
          <w:rFonts w:ascii="仿宋_GB2312" w:hAnsi="楷体" w:eastAsia="仿宋_GB2312"/>
          <w:color w:val="auto"/>
          <w:kern w:val="0"/>
          <w:sz w:val="32"/>
          <w:szCs w:val="32"/>
        </w:rPr>
        <w:t>2</w:t>
      </w:r>
      <w:r>
        <w:rPr>
          <w:rFonts w:hint="eastAsia" w:ascii="仿宋_GB2312" w:hAnsi="楷体" w:eastAsia="仿宋_GB2312"/>
          <w:color w:val="auto"/>
          <w:kern w:val="0"/>
          <w:sz w:val="32"/>
          <w:szCs w:val="32"/>
        </w:rPr>
        <w:t>）公务用车运行维护费预算支出</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万元，比上年预算增加（减少）</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万元，主要原因</w:t>
      </w:r>
      <w:r>
        <w:rPr>
          <w:rFonts w:hint="eastAsia" w:ascii="仿宋_GB2312" w:hAnsi="楷体" w:eastAsia="仿宋_GB2312"/>
          <w:color w:val="auto"/>
          <w:kern w:val="0"/>
          <w:sz w:val="32"/>
          <w:szCs w:val="32"/>
          <w:lang w:eastAsia="zh-CN"/>
        </w:rPr>
        <w:t>本单位公车使用由襄汾县机关事务服务中心统一调度使用</w:t>
      </w:r>
      <w:r>
        <w:rPr>
          <w:rFonts w:hint="eastAsia" w:ascii="仿宋_GB2312" w:hAnsi="楷体" w:eastAsia="仿宋_GB2312"/>
          <w:color w:val="auto"/>
          <w:kern w:val="0"/>
          <w:sz w:val="32"/>
          <w:szCs w:val="32"/>
        </w:rPr>
        <w:t>。</w:t>
      </w:r>
    </w:p>
    <w:p>
      <w:pPr>
        <w:autoSpaceDE w:val="0"/>
        <w:autoSpaceDN w:val="0"/>
        <w:adjustRightInd w:val="0"/>
        <w:ind w:firstLine="480" w:firstLineChars="150"/>
        <w:jc w:val="left"/>
        <w:rPr>
          <w:rFonts w:ascii="仿宋_GB2312" w:hAnsi="楷体" w:eastAsia="仿宋_GB2312"/>
          <w:color w:val="auto"/>
          <w:kern w:val="0"/>
          <w:sz w:val="32"/>
          <w:szCs w:val="32"/>
          <w:u w:val="single"/>
        </w:rPr>
      </w:pPr>
      <w:r>
        <w:rPr>
          <w:rFonts w:ascii="仿宋_GB2312" w:hAnsi="楷体" w:eastAsia="仿宋_GB2312"/>
          <w:color w:val="auto"/>
          <w:kern w:val="0"/>
          <w:sz w:val="32"/>
          <w:szCs w:val="32"/>
        </w:rPr>
        <w:t>3</w:t>
      </w:r>
      <w:r>
        <w:rPr>
          <w:rFonts w:hint="eastAsia" w:ascii="仿宋_GB2312" w:hAnsi="楷体" w:eastAsia="仿宋_GB2312"/>
          <w:color w:val="auto"/>
          <w:kern w:val="0"/>
          <w:sz w:val="32"/>
          <w:szCs w:val="32"/>
        </w:rPr>
        <w:t>．公务接待费预算支出</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万元，比上年预算减少</w:t>
      </w:r>
      <w:r>
        <w:rPr>
          <w:rFonts w:hint="eastAsia" w:ascii="仿宋_GB2312" w:hAnsi="楷体" w:eastAsia="仿宋_GB2312"/>
          <w:color w:val="auto"/>
          <w:kern w:val="0"/>
          <w:sz w:val="32"/>
          <w:szCs w:val="32"/>
          <w:lang w:val="en-US" w:eastAsia="zh-CN"/>
        </w:rPr>
        <w:t>1</w:t>
      </w:r>
      <w:r>
        <w:rPr>
          <w:rFonts w:hint="eastAsia" w:ascii="仿宋_GB2312" w:hAnsi="楷体" w:eastAsia="仿宋_GB2312"/>
          <w:color w:val="auto"/>
          <w:kern w:val="0"/>
          <w:sz w:val="32"/>
          <w:szCs w:val="32"/>
        </w:rPr>
        <w:t>万元，主要原因</w:t>
      </w:r>
      <w:r>
        <w:rPr>
          <w:rFonts w:hint="eastAsia" w:ascii="仿宋_GB2312" w:hAnsi="楷体" w:eastAsia="仿宋_GB2312"/>
          <w:color w:val="auto"/>
          <w:kern w:val="0"/>
          <w:sz w:val="32"/>
          <w:szCs w:val="32"/>
          <w:lang w:eastAsia="zh-CN"/>
        </w:rPr>
        <w:t>本单位大型公务接待费由襄汾县机关事务服务中心统一调度使用</w:t>
      </w:r>
      <w:r>
        <w:rPr>
          <w:rFonts w:hint="eastAsia" w:ascii="仿宋_GB2312" w:hAnsi="楷体" w:eastAsia="仿宋_GB2312"/>
          <w:color w:val="auto"/>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25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本年度机关运行经费没有变化</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lang w:val="en-US" w:eastAsia="zh-CN"/>
        </w:rPr>
        <w:t>14.1</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5.2</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8.9</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77</w:t>
      </w:r>
      <w:r>
        <w:rPr>
          <w:rFonts w:hint="eastAsia" w:ascii="仿宋_GB2312" w:hAnsi="楷体" w:eastAsia="仿宋_GB2312"/>
          <w:kern w:val="0"/>
          <w:sz w:val="32"/>
          <w:szCs w:val="32"/>
        </w:rPr>
        <w:t>万元；本部门单位整体支出（</w:t>
      </w:r>
      <w:r>
        <w:rPr>
          <w:rFonts w:hint="default" w:ascii="Arial" w:hAnsi="Arial" w:eastAsia="仿宋_GB2312" w:cs="Arial"/>
          <w:kern w:val="0"/>
          <w:sz w:val="32"/>
          <w:szCs w:val="32"/>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77</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spacing w:val="-16"/>
          <w:kern w:val="0"/>
          <w:sz w:val="32"/>
          <w:szCs w:val="32"/>
        </w:rPr>
        <w:t>本</w:t>
      </w:r>
      <w:r>
        <w:rPr>
          <w:rFonts w:hint="eastAsia" w:ascii="仿宋_GB2312" w:hAnsi="黑体" w:eastAsia="仿宋_GB2312"/>
          <w:b w:val="0"/>
          <w:bCs/>
          <w:spacing w:val="-16"/>
          <w:kern w:val="0"/>
          <w:sz w:val="32"/>
          <w:szCs w:val="32"/>
          <w:lang w:eastAsia="zh-CN"/>
        </w:rPr>
        <w:t>单位</w:t>
      </w:r>
      <w:r>
        <w:rPr>
          <w:rFonts w:hint="eastAsia" w:ascii="仿宋_GB2312" w:hAnsi="黑体" w:eastAsia="仿宋_GB2312"/>
          <w:b w:val="0"/>
          <w:bCs/>
          <w:spacing w:val="-16"/>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一般设备购置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C9C24069"/>
    <w:multiLevelType w:val="singleLevel"/>
    <w:tmpl w:val="C9C24069"/>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3DB0A77"/>
    <w:rsid w:val="042A46B1"/>
    <w:rsid w:val="044A3B31"/>
    <w:rsid w:val="047252B7"/>
    <w:rsid w:val="051225C5"/>
    <w:rsid w:val="051E317B"/>
    <w:rsid w:val="0595462A"/>
    <w:rsid w:val="05E51BD6"/>
    <w:rsid w:val="068F085F"/>
    <w:rsid w:val="06C82279"/>
    <w:rsid w:val="06DD6518"/>
    <w:rsid w:val="07F41F71"/>
    <w:rsid w:val="099C7973"/>
    <w:rsid w:val="09ED16A4"/>
    <w:rsid w:val="0A395A2B"/>
    <w:rsid w:val="0A562E9F"/>
    <w:rsid w:val="0A6A7F73"/>
    <w:rsid w:val="0A781506"/>
    <w:rsid w:val="0A831A07"/>
    <w:rsid w:val="0B7A268C"/>
    <w:rsid w:val="0B8D660D"/>
    <w:rsid w:val="0C550EC0"/>
    <w:rsid w:val="0DEA4770"/>
    <w:rsid w:val="0ECF36D9"/>
    <w:rsid w:val="0F2E650F"/>
    <w:rsid w:val="0FAC09AE"/>
    <w:rsid w:val="1043566D"/>
    <w:rsid w:val="10675503"/>
    <w:rsid w:val="10F95EB1"/>
    <w:rsid w:val="11910BD1"/>
    <w:rsid w:val="129F1DB9"/>
    <w:rsid w:val="12AC5325"/>
    <w:rsid w:val="12FE5D1B"/>
    <w:rsid w:val="132E3923"/>
    <w:rsid w:val="13D31AA5"/>
    <w:rsid w:val="14382EFE"/>
    <w:rsid w:val="14774B4D"/>
    <w:rsid w:val="147D7DBE"/>
    <w:rsid w:val="14897DBA"/>
    <w:rsid w:val="16027FF2"/>
    <w:rsid w:val="16407400"/>
    <w:rsid w:val="164D2E81"/>
    <w:rsid w:val="16685213"/>
    <w:rsid w:val="16A97B7B"/>
    <w:rsid w:val="16B00739"/>
    <w:rsid w:val="16EF2637"/>
    <w:rsid w:val="17617351"/>
    <w:rsid w:val="1783713D"/>
    <w:rsid w:val="17A809B3"/>
    <w:rsid w:val="18307673"/>
    <w:rsid w:val="18692FEC"/>
    <w:rsid w:val="189004E1"/>
    <w:rsid w:val="19660F13"/>
    <w:rsid w:val="19894E3C"/>
    <w:rsid w:val="19B3058F"/>
    <w:rsid w:val="19CE7BD6"/>
    <w:rsid w:val="19D410BE"/>
    <w:rsid w:val="19EF64A7"/>
    <w:rsid w:val="1AE37F6B"/>
    <w:rsid w:val="1AEA4822"/>
    <w:rsid w:val="1DBF43F1"/>
    <w:rsid w:val="1E46404A"/>
    <w:rsid w:val="1E8B07BA"/>
    <w:rsid w:val="1F167368"/>
    <w:rsid w:val="1FD5315A"/>
    <w:rsid w:val="1FFE55DD"/>
    <w:rsid w:val="20154AC9"/>
    <w:rsid w:val="20953A56"/>
    <w:rsid w:val="20B465EE"/>
    <w:rsid w:val="22461B1D"/>
    <w:rsid w:val="229A0D7C"/>
    <w:rsid w:val="22CC6E73"/>
    <w:rsid w:val="22DF6CA5"/>
    <w:rsid w:val="23613E3F"/>
    <w:rsid w:val="23C10D48"/>
    <w:rsid w:val="23D52ACB"/>
    <w:rsid w:val="23F2500F"/>
    <w:rsid w:val="247F508E"/>
    <w:rsid w:val="24D33A48"/>
    <w:rsid w:val="26267710"/>
    <w:rsid w:val="26D73A12"/>
    <w:rsid w:val="26D867DF"/>
    <w:rsid w:val="275561AD"/>
    <w:rsid w:val="275B5730"/>
    <w:rsid w:val="28B179A0"/>
    <w:rsid w:val="28D92E1E"/>
    <w:rsid w:val="297F60F4"/>
    <w:rsid w:val="29C54245"/>
    <w:rsid w:val="29E745D6"/>
    <w:rsid w:val="2A0C4B1E"/>
    <w:rsid w:val="2A997794"/>
    <w:rsid w:val="2AA80908"/>
    <w:rsid w:val="2B4A170A"/>
    <w:rsid w:val="2B887676"/>
    <w:rsid w:val="2BB40D14"/>
    <w:rsid w:val="2BC04972"/>
    <w:rsid w:val="2C292926"/>
    <w:rsid w:val="2D282446"/>
    <w:rsid w:val="2DFF008B"/>
    <w:rsid w:val="2E08317D"/>
    <w:rsid w:val="2E4538B8"/>
    <w:rsid w:val="2E8B6B2D"/>
    <w:rsid w:val="2FA677F5"/>
    <w:rsid w:val="307E7314"/>
    <w:rsid w:val="30B46CA3"/>
    <w:rsid w:val="3108141F"/>
    <w:rsid w:val="316856A6"/>
    <w:rsid w:val="31CA3EE9"/>
    <w:rsid w:val="31DC7E38"/>
    <w:rsid w:val="32103D80"/>
    <w:rsid w:val="32673A99"/>
    <w:rsid w:val="32CE2438"/>
    <w:rsid w:val="337D11F8"/>
    <w:rsid w:val="33A6461B"/>
    <w:rsid w:val="33AC426F"/>
    <w:rsid w:val="33B72E06"/>
    <w:rsid w:val="34732E94"/>
    <w:rsid w:val="34C942F5"/>
    <w:rsid w:val="34DE6D61"/>
    <w:rsid w:val="35780C7F"/>
    <w:rsid w:val="35DB4911"/>
    <w:rsid w:val="36262C36"/>
    <w:rsid w:val="36951834"/>
    <w:rsid w:val="36C55314"/>
    <w:rsid w:val="36D55DA2"/>
    <w:rsid w:val="373B78F2"/>
    <w:rsid w:val="38837AF1"/>
    <w:rsid w:val="395C094E"/>
    <w:rsid w:val="397841A2"/>
    <w:rsid w:val="39B865D7"/>
    <w:rsid w:val="39C35268"/>
    <w:rsid w:val="39E4705C"/>
    <w:rsid w:val="39FD2297"/>
    <w:rsid w:val="3A7938C0"/>
    <w:rsid w:val="3ABA5314"/>
    <w:rsid w:val="3B0872A5"/>
    <w:rsid w:val="3C8B2D2A"/>
    <w:rsid w:val="3C9A09D4"/>
    <w:rsid w:val="3D036264"/>
    <w:rsid w:val="3D11386C"/>
    <w:rsid w:val="3D6345D6"/>
    <w:rsid w:val="3E4C5963"/>
    <w:rsid w:val="3E7E1BE2"/>
    <w:rsid w:val="3F0D5E27"/>
    <w:rsid w:val="3F510BAC"/>
    <w:rsid w:val="3F5B1A54"/>
    <w:rsid w:val="3FF763B7"/>
    <w:rsid w:val="4010633E"/>
    <w:rsid w:val="406929B7"/>
    <w:rsid w:val="411B701C"/>
    <w:rsid w:val="41274A97"/>
    <w:rsid w:val="413855EC"/>
    <w:rsid w:val="41F73716"/>
    <w:rsid w:val="420B6317"/>
    <w:rsid w:val="42314B4F"/>
    <w:rsid w:val="42321896"/>
    <w:rsid w:val="42932653"/>
    <w:rsid w:val="42A87774"/>
    <w:rsid w:val="42FB2244"/>
    <w:rsid w:val="432C6798"/>
    <w:rsid w:val="436B0382"/>
    <w:rsid w:val="4417286B"/>
    <w:rsid w:val="44B8486B"/>
    <w:rsid w:val="45047640"/>
    <w:rsid w:val="457C07BD"/>
    <w:rsid w:val="46463CE7"/>
    <w:rsid w:val="47297E21"/>
    <w:rsid w:val="47EE3BCE"/>
    <w:rsid w:val="4833216F"/>
    <w:rsid w:val="48882984"/>
    <w:rsid w:val="49FF0CFB"/>
    <w:rsid w:val="4A076C19"/>
    <w:rsid w:val="4A1F135F"/>
    <w:rsid w:val="4B33576F"/>
    <w:rsid w:val="4B517DBB"/>
    <w:rsid w:val="4BEC58E9"/>
    <w:rsid w:val="4BF3571C"/>
    <w:rsid w:val="4C662DDF"/>
    <w:rsid w:val="4C7C3CF4"/>
    <w:rsid w:val="4CB45D69"/>
    <w:rsid w:val="4CCC2331"/>
    <w:rsid w:val="4D1A2B5E"/>
    <w:rsid w:val="4D6954BF"/>
    <w:rsid w:val="4F490E42"/>
    <w:rsid w:val="4FCA2FBB"/>
    <w:rsid w:val="508B0180"/>
    <w:rsid w:val="50BC7B39"/>
    <w:rsid w:val="520053B6"/>
    <w:rsid w:val="520D2EC7"/>
    <w:rsid w:val="527C3191"/>
    <w:rsid w:val="5283668D"/>
    <w:rsid w:val="528C4051"/>
    <w:rsid w:val="528C4B01"/>
    <w:rsid w:val="52AA5014"/>
    <w:rsid w:val="52C91961"/>
    <w:rsid w:val="53DD6BA8"/>
    <w:rsid w:val="53F21A3F"/>
    <w:rsid w:val="54212105"/>
    <w:rsid w:val="55B2288E"/>
    <w:rsid w:val="55CB4852"/>
    <w:rsid w:val="56286622"/>
    <w:rsid w:val="567A2AC8"/>
    <w:rsid w:val="568E078F"/>
    <w:rsid w:val="579E20B3"/>
    <w:rsid w:val="57C74A48"/>
    <w:rsid w:val="58430EF3"/>
    <w:rsid w:val="58AA41B4"/>
    <w:rsid w:val="593448EE"/>
    <w:rsid w:val="59AC6411"/>
    <w:rsid w:val="5A22632C"/>
    <w:rsid w:val="5A377F8F"/>
    <w:rsid w:val="5AB04B75"/>
    <w:rsid w:val="5ADB2105"/>
    <w:rsid w:val="5B494D63"/>
    <w:rsid w:val="5B9F36DE"/>
    <w:rsid w:val="5BDF11E0"/>
    <w:rsid w:val="5C7418A0"/>
    <w:rsid w:val="5CA16867"/>
    <w:rsid w:val="5D15689C"/>
    <w:rsid w:val="5F074BD6"/>
    <w:rsid w:val="5F4C57DE"/>
    <w:rsid w:val="5F767359"/>
    <w:rsid w:val="5FA40E1A"/>
    <w:rsid w:val="5FAE6B95"/>
    <w:rsid w:val="5FBF3338"/>
    <w:rsid w:val="60AD072C"/>
    <w:rsid w:val="61A97E4C"/>
    <w:rsid w:val="62052E89"/>
    <w:rsid w:val="62680D4E"/>
    <w:rsid w:val="63804CC1"/>
    <w:rsid w:val="63CA0901"/>
    <w:rsid w:val="63DC3A6F"/>
    <w:rsid w:val="64535518"/>
    <w:rsid w:val="64936EC4"/>
    <w:rsid w:val="64A47E04"/>
    <w:rsid w:val="64AE406A"/>
    <w:rsid w:val="64E61465"/>
    <w:rsid w:val="65A60FF6"/>
    <w:rsid w:val="66E051DE"/>
    <w:rsid w:val="67573C0D"/>
    <w:rsid w:val="67606103"/>
    <w:rsid w:val="67EB6718"/>
    <w:rsid w:val="68723683"/>
    <w:rsid w:val="68734932"/>
    <w:rsid w:val="68C7713A"/>
    <w:rsid w:val="68F242AC"/>
    <w:rsid w:val="69E01312"/>
    <w:rsid w:val="6ABB4B62"/>
    <w:rsid w:val="6B6D0C8C"/>
    <w:rsid w:val="6B73082E"/>
    <w:rsid w:val="6C972688"/>
    <w:rsid w:val="6DD00F51"/>
    <w:rsid w:val="6E130B2A"/>
    <w:rsid w:val="6E5205D8"/>
    <w:rsid w:val="6EDA2E31"/>
    <w:rsid w:val="6FC77BC7"/>
    <w:rsid w:val="70C61C0B"/>
    <w:rsid w:val="70E334F7"/>
    <w:rsid w:val="71D47169"/>
    <w:rsid w:val="720A3FB4"/>
    <w:rsid w:val="72C23FBE"/>
    <w:rsid w:val="72F81C9E"/>
    <w:rsid w:val="736E3BAB"/>
    <w:rsid w:val="743954A3"/>
    <w:rsid w:val="75A56425"/>
    <w:rsid w:val="761362F3"/>
    <w:rsid w:val="76D031FE"/>
    <w:rsid w:val="77481BE2"/>
    <w:rsid w:val="77915F20"/>
    <w:rsid w:val="77BF0F88"/>
    <w:rsid w:val="78317136"/>
    <w:rsid w:val="78801057"/>
    <w:rsid w:val="78CD1873"/>
    <w:rsid w:val="79333014"/>
    <w:rsid w:val="799B31D3"/>
    <w:rsid w:val="7A0A6456"/>
    <w:rsid w:val="7A82651F"/>
    <w:rsid w:val="7ADE0B82"/>
    <w:rsid w:val="7AED2B21"/>
    <w:rsid w:val="7B3A5C4F"/>
    <w:rsid w:val="7B787240"/>
    <w:rsid w:val="7BB41C66"/>
    <w:rsid w:val="7C560D3A"/>
    <w:rsid w:val="7C605D84"/>
    <w:rsid w:val="7CB85B57"/>
    <w:rsid w:val="7CBB5016"/>
    <w:rsid w:val="7D6E53D9"/>
    <w:rsid w:val="7DAF3E53"/>
    <w:rsid w:val="7DD51D8B"/>
    <w:rsid w:val="7E2E3893"/>
    <w:rsid w:val="7E6B6F8A"/>
    <w:rsid w:val="7ED56907"/>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 w:type="character" w:customStyle="1" w:styleId="10">
    <w:name w:val="NormalCharacter"/>
    <w:semiHidden/>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 Mrs.Lee</cp:lastModifiedBy>
  <cp:lastPrinted>2020-05-19T03:47:00Z</cp:lastPrinted>
  <dcterms:modified xsi:type="dcterms:W3CDTF">2022-03-04T08:44:32Z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