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lang w:val="en-US" w:eastAsia="zh-CN"/>
        </w:rPr>
      </w:pPr>
      <w:r>
        <w:rPr>
          <w:rFonts w:hint="eastAsia" w:ascii="宋体" w:hAnsi="宋体" w:eastAsia="宋体" w:cs="宋体"/>
          <w:b/>
          <w:bCs/>
          <w:kern w:val="0"/>
          <w:sz w:val="44"/>
          <w:szCs w:val="44"/>
          <w:u w:val="none"/>
          <w:lang w:val="en-US" w:eastAsia="zh-CN"/>
        </w:rPr>
        <w:t>中共襄汾县委政法委员会</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2022</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bookmarkStart w:id="0" w:name="_GoBack"/>
      <w:bookmarkEnd w:id="0"/>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一、本部门职责</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中共襄汾县委政法委员会是县委领导政法工作的职能部门，主要职责是：</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一是深入贯彻习近平新时代中国特色社会主义思想，深入贯彻党的路线方针政策和中央政法委、省委政法委、市委政法委及县委的决策部署，统一政法各部门思想和行动，坚持党对政法工作的绝对领导，坚决维护党中央权威和集中统一领导。</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二是深入贯彻中央要求、省委决定、市委部署和县委安排，对全县政法工作研究提出全局性部署，推进平安襄汾、法治襄汾建设，加强过硬队伍建设，深化智能化建设，坚决维护国家政治安全、确保社会大局稳定、促进社会公平正义、保障人民安居乐业、服务经济社会发展。</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三是了解掌握、分析研判全县政法工作情况动态，分析社会稳定形势，创新完善多部门参与的综治维稳工作机制，协调推动预防、化解影响稳定的社会矛盾和风险，协调应对和处置重大突发事件。</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四是加强对全县政法工作的督查，统筹协调社会治安综合治理、维护社会稳定、反邪教有关法律法规政策的实施工作。</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五是组织开展全县政法领域的调查研究，拟订全县政法工作的方针政策和重大措施，及时向县委和市委政法委提出建议。</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六是掌握分析全县政法舆情动态，指导协调政法部门媒体网络宣传工作，指导政法各部门做好涉及政法工作的重大宣传工作。</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七是监督和支持政法各部门依法行使职权，指导和协调政法各部门密切配合，研究和协调重大、疑难案件，推进严格执法、公正司法。</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八是组织研究全县政法改革中带有方向性、倾向性和普遍性的重大问题，深化政法改革。</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九是指导推动全县政法系统党的建设和政法队伍建设，统筹推动政治督察和政治轮训。协助县委和县委组织部管理政法干部。管理襄汾县法学会。</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十是完成县委交办的其他工作。</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部门机构设置及预算单位构成情况</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根据部门职责分工，本</w:t>
      </w:r>
      <w:r>
        <w:rPr>
          <w:rFonts w:hint="eastAsia" w:ascii="仿宋_GB2312" w:hAnsi="仿宋" w:eastAsia="仿宋_GB2312"/>
          <w:kern w:val="0"/>
          <w:sz w:val="32"/>
          <w:szCs w:val="32"/>
          <w:u w:val="none"/>
          <w:lang w:val="en-US" w:eastAsia="zh-CN"/>
        </w:rPr>
        <w:t>部门内设机构有5个，包括办公室、政工室、执法检查室、综治室、维稳室。</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本部门无下属单位。</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2</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从预算单位构成看，纳入本部门202</w:t>
      </w:r>
      <w:r>
        <w:rPr>
          <w:rFonts w:hint="eastAsia" w:ascii="仿宋_GB2312" w:hAnsi="仿宋" w:eastAsia="仿宋_GB2312"/>
          <w:kern w:val="0"/>
          <w:sz w:val="32"/>
          <w:szCs w:val="32"/>
          <w:u w:val="none"/>
          <w:lang w:val="en-US" w:eastAsia="zh-CN"/>
        </w:rPr>
        <w:t>2</w:t>
      </w:r>
      <w:r>
        <w:rPr>
          <w:rFonts w:hint="eastAsia" w:ascii="仿宋_GB2312" w:hAnsi="仿宋" w:eastAsia="仿宋_GB2312"/>
          <w:kern w:val="0"/>
          <w:sz w:val="32"/>
          <w:szCs w:val="32"/>
          <w:u w:val="none"/>
          <w:lang w:eastAsia="zh-CN"/>
        </w:rPr>
        <w:t>年部门汇总预算编制范围的预算单位共计</w:t>
      </w:r>
      <w:r>
        <w:rPr>
          <w:rFonts w:hint="eastAsia" w:ascii="仿宋_GB2312" w:hAnsi="仿宋" w:eastAsia="仿宋_GB2312"/>
          <w:kern w:val="0"/>
          <w:sz w:val="32"/>
          <w:szCs w:val="32"/>
          <w:u w:val="none"/>
          <w:lang w:val="en-US" w:eastAsia="zh-CN"/>
        </w:rPr>
        <w:t>1</w:t>
      </w:r>
      <w:r>
        <w:rPr>
          <w:rFonts w:hint="eastAsia" w:ascii="仿宋_GB2312" w:hAnsi="仿宋" w:eastAsia="仿宋_GB2312"/>
          <w:kern w:val="0"/>
          <w:sz w:val="32"/>
          <w:szCs w:val="32"/>
          <w:u w:val="none"/>
          <w:lang w:eastAsia="zh-CN"/>
        </w:rPr>
        <w:t>家，具体包括：中共襄汾县委政法委员会本级。</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eastAsia="zh-CN"/>
        </w:rPr>
        <w:t>2022</w:t>
      </w:r>
      <w:r>
        <w:rPr>
          <w:rFonts w:hint="eastAsia" w:ascii="仿宋_GB2312" w:hAnsi="仿宋" w:eastAsia="仿宋_GB2312"/>
          <w:kern w:val="0"/>
          <w:sz w:val="32"/>
          <w:szCs w:val="32"/>
          <w:u w:val="none"/>
        </w:rPr>
        <w:t xml:space="preserve"> 年部门主要工作任务及目标</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rPr>
        <w:t>一</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、深入学习领会“两个确立”的决定性意义，着力增强广大干警政治自觉和政治能力</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w:t>
      </w:r>
      <w:r>
        <w:rPr>
          <w:rFonts w:hint="eastAsia" w:ascii="仿宋_GB2312" w:hAnsi="仿宋" w:eastAsia="仿宋_GB2312"/>
          <w:kern w:val="0"/>
          <w:sz w:val="32"/>
          <w:szCs w:val="32"/>
          <w:u w:val="none"/>
          <w:lang w:eastAsia="zh-CN"/>
        </w:rPr>
        <w:t>不断增强政法干警的政治自觉。</w:t>
      </w:r>
      <w:r>
        <w:rPr>
          <w:rFonts w:hint="eastAsia" w:ascii="仿宋_GB2312" w:hAnsi="仿宋" w:eastAsia="仿宋_GB2312"/>
          <w:kern w:val="0"/>
          <w:sz w:val="32"/>
          <w:szCs w:val="32"/>
          <w:u w:val="none"/>
        </w:rPr>
        <w:t>坚持用习近平新时代中国特色社会主义思想武装头脑，</w:t>
      </w:r>
      <w:r>
        <w:rPr>
          <w:rFonts w:hint="eastAsia" w:ascii="仿宋_GB2312" w:hAnsi="仿宋" w:eastAsia="仿宋_GB2312"/>
          <w:kern w:val="0"/>
          <w:sz w:val="32"/>
          <w:szCs w:val="32"/>
          <w:u w:val="none"/>
          <w:lang w:eastAsia="zh-CN"/>
        </w:rPr>
        <w:t>教育引导广大政法干警深刻领悟“两个确立”的决定性意义。牢固树立忠诚的政治信念、坚定的政治自觉，始终把“两个维护”作为最高的政治原则和行动原则，坚定自觉的做“两个确立”的忠诚拥护者、“两个维护”的忠实践行者。</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w:t>
      </w:r>
      <w:r>
        <w:rPr>
          <w:rFonts w:hint="eastAsia" w:ascii="仿宋_GB2312" w:hAnsi="仿宋" w:eastAsia="仿宋_GB2312"/>
          <w:kern w:val="0"/>
          <w:sz w:val="32"/>
          <w:szCs w:val="32"/>
          <w:u w:val="none"/>
          <w:lang w:eastAsia="zh-CN"/>
        </w:rPr>
        <w:t>全面提升政法干警的政治能力。深入领会习近平新时代中国特色社会主义思想、习近平法治思想，教育引导广大政法干警用政治思维去分析问题，全面提高政治判断力。始终明确职责定位，全面提高政治领悟力。对习近平总书记重要指示批示、党中央决策部署及省委、市委、县委要求不折不扣地坚决贯彻落实到位，全面提高政治执行力。</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3、</w:t>
      </w:r>
      <w:r>
        <w:rPr>
          <w:rFonts w:hint="eastAsia" w:ascii="仿宋_GB2312" w:hAnsi="仿宋" w:eastAsia="仿宋_GB2312"/>
          <w:kern w:val="0"/>
          <w:sz w:val="32"/>
          <w:szCs w:val="32"/>
          <w:u w:val="none"/>
          <w:lang w:eastAsia="zh-CN"/>
        </w:rPr>
        <w:t>全面加强党对政法工作的绝对领导。认真贯彻执行</w:t>
      </w:r>
      <w:r>
        <w:rPr>
          <w:rFonts w:hint="eastAsia" w:ascii="仿宋_GB2312" w:hAnsi="仿宋" w:eastAsia="仿宋_GB2312"/>
          <w:kern w:val="0"/>
          <w:sz w:val="32"/>
          <w:szCs w:val="32"/>
          <w:u w:val="none"/>
        </w:rPr>
        <w:t>《中国共产党政法工作条例》，</w:t>
      </w:r>
      <w:r>
        <w:rPr>
          <w:rFonts w:hint="eastAsia" w:ascii="仿宋_GB2312" w:hAnsi="仿宋" w:eastAsia="仿宋_GB2312"/>
          <w:kern w:val="0"/>
          <w:sz w:val="32"/>
          <w:szCs w:val="32"/>
          <w:u w:val="none"/>
          <w:lang w:eastAsia="zh-CN"/>
        </w:rPr>
        <w:t>从严落实“政法委员会全体会议”“政法委员述职”“请示报告”等制度，不断健全完善政治轮训、执法监督、“协管”“协查”等制度机制，严格执行</w:t>
      </w:r>
      <w:r>
        <w:rPr>
          <w:rFonts w:hint="eastAsia" w:ascii="仿宋_GB2312" w:hAnsi="仿宋" w:eastAsia="仿宋_GB2312"/>
          <w:kern w:val="0"/>
          <w:sz w:val="32"/>
          <w:szCs w:val="32"/>
          <w:u w:val="none"/>
        </w:rPr>
        <w:t>政法机关党组（党委）在执法办案中发挥领导作用、党组（党委）成员依照工作程序参与重要业务和重要决策等制度，为加强党对政法工作的领导提供坚强的制度保障。</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二</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、积极防范化解重大风险，全力为党的二十大胜利召开提供强有力保障</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4、</w:t>
      </w:r>
      <w:r>
        <w:rPr>
          <w:rFonts w:hint="eastAsia" w:ascii="仿宋_GB2312" w:hAnsi="仿宋" w:eastAsia="仿宋_GB2312"/>
          <w:kern w:val="0"/>
          <w:sz w:val="32"/>
          <w:szCs w:val="32"/>
          <w:u w:val="none"/>
          <w:lang w:eastAsia="zh-CN"/>
        </w:rPr>
        <w:t>坚决构筑意识形态领域安全防线。密切关注境内外敌对势力新动向，重点关注在二十大召开的关键节点制造噪音杂音动向，深化打击网络政治谣言和有害信息的专项工作，深入推进打击“反党反体制”重点人、网上非法组织专项行动，加强互联网巡查和重点阵地的管控力度，牢牢掌握意识形态领域主动权。加强政法网军规范化建设，全面提高政法网军的综合素质和战斗力。</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5、</w:t>
      </w:r>
      <w:r>
        <w:rPr>
          <w:rFonts w:hint="eastAsia" w:ascii="仿宋_GB2312" w:hAnsi="仿宋" w:eastAsia="仿宋_GB2312"/>
          <w:kern w:val="0"/>
          <w:sz w:val="32"/>
          <w:szCs w:val="32"/>
          <w:u w:val="none"/>
          <w:lang w:eastAsia="zh-CN"/>
        </w:rPr>
        <w:t>坚决捍卫国家政治安全。</w:t>
      </w:r>
      <w:r>
        <w:rPr>
          <w:rFonts w:hint="eastAsia" w:ascii="仿宋_GB2312" w:hAnsi="仿宋" w:eastAsia="仿宋_GB2312"/>
          <w:kern w:val="0"/>
          <w:sz w:val="32"/>
          <w:szCs w:val="32"/>
          <w:u w:val="none"/>
        </w:rPr>
        <w:t>紧盯各类风险隐患，提升深层次情报搜集、研判、预警能力，依法果断处置各类渗透破坏活动。深化反间防谍斗争和人民防线建设，完善政治重点人信息库建设，</w:t>
      </w:r>
      <w:r>
        <w:rPr>
          <w:rFonts w:hint="eastAsia" w:ascii="仿宋_GB2312" w:hAnsi="仿宋" w:eastAsia="仿宋_GB2312"/>
          <w:kern w:val="0"/>
          <w:sz w:val="32"/>
          <w:szCs w:val="32"/>
          <w:u w:val="none"/>
          <w:lang w:eastAsia="zh-CN"/>
        </w:rPr>
        <w:t>加强</w:t>
      </w:r>
      <w:r>
        <w:rPr>
          <w:rFonts w:hint="eastAsia" w:ascii="仿宋_GB2312" w:hAnsi="仿宋" w:eastAsia="仿宋_GB2312"/>
          <w:kern w:val="0"/>
          <w:sz w:val="32"/>
          <w:szCs w:val="32"/>
          <w:u w:val="none"/>
        </w:rPr>
        <w:t>分级分类教育管控。依法持续打击境外宗教渗透活动</w:t>
      </w:r>
      <w:r>
        <w:rPr>
          <w:rFonts w:hint="eastAsia" w:ascii="仿宋_GB2312" w:hAnsi="仿宋" w:eastAsia="仿宋_GB2312"/>
          <w:kern w:val="0"/>
          <w:sz w:val="32"/>
          <w:szCs w:val="32"/>
          <w:u w:val="none"/>
          <w:lang w:eastAsia="zh-CN"/>
        </w:rPr>
        <w:t>，依法严厉打击各类邪教组织、非法势力等非法活动</w:t>
      </w:r>
      <w:r>
        <w:rPr>
          <w:rFonts w:hint="eastAsia" w:ascii="仿宋_GB2312" w:hAnsi="仿宋" w:eastAsia="仿宋_GB2312"/>
          <w:kern w:val="0"/>
          <w:sz w:val="32"/>
          <w:szCs w:val="32"/>
          <w:u w:val="none"/>
        </w:rPr>
        <w:t>。</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6、坚决打击暴力恐怖活动。</w:t>
      </w:r>
      <w:r>
        <w:rPr>
          <w:rFonts w:hint="eastAsia" w:ascii="仿宋_GB2312" w:hAnsi="仿宋" w:eastAsia="仿宋_GB2312"/>
          <w:kern w:val="0"/>
          <w:sz w:val="32"/>
          <w:szCs w:val="32"/>
          <w:u w:val="none"/>
        </w:rPr>
        <w:t>建立健全严打暴恐长效机制，依法精准打击暴恐极端活动，严格落实涉恐重点人动态管控措施，加强暴恐音视频打击整治和涉恐网上追逃等工作，提高预测预警预防能力，坚决防止暴恐分子在我县潜藏蛰伏、制造事端。</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7、坚决防范群体性事件风险。</w:t>
      </w:r>
      <w:r>
        <w:rPr>
          <w:rFonts w:hint="eastAsia" w:ascii="仿宋_GB2312" w:hAnsi="仿宋" w:eastAsia="仿宋_GB2312"/>
          <w:kern w:val="0"/>
          <w:sz w:val="32"/>
          <w:szCs w:val="32"/>
          <w:u w:val="none"/>
        </w:rPr>
        <w:t>定期开展社会稳定形势分析研判，</w:t>
      </w:r>
      <w:r>
        <w:rPr>
          <w:rFonts w:hint="eastAsia" w:ascii="仿宋_GB2312" w:hAnsi="仿宋" w:eastAsia="仿宋_GB2312"/>
          <w:kern w:val="0"/>
          <w:sz w:val="32"/>
          <w:szCs w:val="32"/>
          <w:u w:val="none"/>
          <w:lang w:eastAsia="zh-CN"/>
        </w:rPr>
        <w:t>着力防范化解经济金融、征地拆迁、教育、医疗等重点领域风险，做好利益受损群体的化解稳控工作，</w:t>
      </w:r>
      <w:r>
        <w:rPr>
          <w:rFonts w:hint="eastAsia" w:ascii="仿宋_GB2312" w:hAnsi="仿宋" w:eastAsia="仿宋_GB2312"/>
          <w:kern w:val="0"/>
          <w:sz w:val="32"/>
          <w:szCs w:val="32"/>
          <w:u w:val="none"/>
        </w:rPr>
        <w:t>确保不发生规模性聚集上访。落实重大风险问题清单制度，持续深化</w:t>
      </w:r>
      <w:r>
        <w:rPr>
          <w:rFonts w:hint="eastAsia" w:ascii="仿宋_GB2312" w:hAnsi="仿宋" w:eastAsia="仿宋_GB2312"/>
          <w:kern w:val="0"/>
          <w:sz w:val="32"/>
          <w:szCs w:val="32"/>
          <w:u w:val="none"/>
          <w:lang w:eastAsia="zh-CN"/>
        </w:rPr>
        <w:t>信访案件</w:t>
      </w:r>
      <w:r>
        <w:rPr>
          <w:rFonts w:hint="eastAsia" w:ascii="仿宋_GB2312" w:hAnsi="仿宋" w:eastAsia="仿宋_GB2312"/>
          <w:kern w:val="0"/>
          <w:sz w:val="32"/>
          <w:szCs w:val="32"/>
          <w:u w:val="none"/>
        </w:rPr>
        <w:t>控新治旧“十项行动”，扎实开展常态化矛盾纠纷排查调处，</w:t>
      </w:r>
      <w:r>
        <w:rPr>
          <w:rFonts w:hint="eastAsia" w:ascii="仿宋_GB2312" w:hAnsi="仿宋" w:eastAsia="仿宋_GB2312"/>
          <w:kern w:val="0"/>
          <w:sz w:val="32"/>
          <w:szCs w:val="32"/>
          <w:u w:val="none"/>
          <w:lang w:eastAsia="zh-CN"/>
        </w:rPr>
        <w:t>致力防范个人极端事件的发生</w:t>
      </w:r>
      <w:r>
        <w:rPr>
          <w:rFonts w:hint="eastAsia" w:ascii="仿宋_GB2312" w:hAnsi="仿宋" w:eastAsia="仿宋_GB2312"/>
          <w:kern w:val="0"/>
          <w:sz w:val="32"/>
          <w:szCs w:val="32"/>
          <w:u w:val="none"/>
        </w:rPr>
        <w:t>。</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三</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、持续</w:t>
      </w:r>
      <w:r>
        <w:rPr>
          <w:rFonts w:hint="eastAsia" w:ascii="仿宋_GB2312" w:hAnsi="仿宋" w:eastAsia="仿宋_GB2312"/>
          <w:kern w:val="0"/>
          <w:sz w:val="32"/>
          <w:szCs w:val="32"/>
          <w:u w:val="none"/>
        </w:rPr>
        <w:t>强化法治保障</w:t>
      </w:r>
      <w:r>
        <w:rPr>
          <w:rFonts w:hint="eastAsia" w:ascii="仿宋_GB2312" w:hAnsi="仿宋" w:eastAsia="仿宋_GB2312"/>
          <w:kern w:val="0"/>
          <w:sz w:val="32"/>
          <w:szCs w:val="32"/>
          <w:u w:val="none"/>
          <w:lang w:eastAsia="zh-CN"/>
        </w:rPr>
        <w:t>作用</w:t>
      </w:r>
      <w:r>
        <w:rPr>
          <w:rFonts w:hint="eastAsia" w:ascii="仿宋_GB2312" w:hAnsi="仿宋" w:eastAsia="仿宋_GB2312"/>
          <w:kern w:val="0"/>
          <w:sz w:val="32"/>
          <w:szCs w:val="32"/>
          <w:u w:val="none"/>
        </w:rPr>
        <w:t>，倾力服务</w:t>
      </w:r>
      <w:r>
        <w:rPr>
          <w:rFonts w:hint="eastAsia" w:ascii="仿宋_GB2312" w:hAnsi="仿宋" w:eastAsia="仿宋_GB2312"/>
          <w:kern w:val="0"/>
          <w:sz w:val="32"/>
          <w:szCs w:val="32"/>
          <w:u w:val="none"/>
          <w:lang w:eastAsia="zh-CN"/>
        </w:rPr>
        <w:t>全县</w:t>
      </w:r>
      <w:r>
        <w:rPr>
          <w:rFonts w:hint="eastAsia" w:ascii="仿宋_GB2312" w:hAnsi="仿宋" w:eastAsia="仿宋_GB2312"/>
          <w:kern w:val="0"/>
          <w:sz w:val="32"/>
          <w:szCs w:val="32"/>
          <w:u w:val="none"/>
        </w:rPr>
        <w:t>高质量发展</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8、</w:t>
      </w:r>
      <w:r>
        <w:rPr>
          <w:rFonts w:hint="eastAsia" w:ascii="仿宋_GB2312" w:hAnsi="仿宋" w:eastAsia="仿宋_GB2312"/>
          <w:kern w:val="0"/>
          <w:sz w:val="32"/>
          <w:szCs w:val="32"/>
          <w:u w:val="none"/>
          <w:lang w:eastAsia="zh-CN"/>
        </w:rPr>
        <w:t>着力更新政法干警执法司法理念。持续对政法机关服务保障39条措施落实情况开展专项执法检查。深化“端正执法司法理念、改进执法司法作风”专项活动。不断强化广大干警宽严相济、少捕慎诉的司法理念，依法保护各类市场主体合法权益。</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9、</w:t>
      </w:r>
      <w:r>
        <w:rPr>
          <w:rFonts w:hint="eastAsia" w:ascii="仿宋_GB2312" w:hAnsi="仿宋" w:eastAsia="仿宋_GB2312"/>
          <w:kern w:val="0"/>
          <w:sz w:val="32"/>
          <w:szCs w:val="32"/>
          <w:u w:val="none"/>
          <w:lang w:eastAsia="zh-CN"/>
        </w:rPr>
        <w:t>着力强化服务发展精准度。进一步加强涉企法治服务保障，继续开展农信社涉诉类不良贷款集中清理活动。积极推广“一企一警”工作模式。依法打击破坏企业正常生产经营的违法犯罪行为。健全涉企错案甄别纠正常态化机制，加大企业涉法维权问题协调解决力度，及时化解涉企纠纷。</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10、</w:t>
      </w:r>
      <w:r>
        <w:rPr>
          <w:rFonts w:hint="eastAsia" w:ascii="仿宋_GB2312" w:hAnsi="仿宋" w:eastAsia="仿宋_GB2312"/>
          <w:kern w:val="0"/>
          <w:sz w:val="32"/>
          <w:szCs w:val="32"/>
          <w:u w:val="none"/>
          <w:lang w:eastAsia="zh-CN"/>
        </w:rPr>
        <w:t>着力优化营商环境。完善行政执法与刑事司法的有效衔接，重点整治垄断经营、强揽工程、欺行霸市敲诈勒索等危害营商环境的非法活动。大力开展企业和项目周边治安秩序专项整治，及时化解涉企纠纷。严厉打击侵犯企业知识产权和制售假冒伪劣商品犯罪。</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11、</w:t>
      </w:r>
      <w:r>
        <w:rPr>
          <w:rFonts w:hint="eastAsia" w:ascii="仿宋_GB2312" w:hAnsi="仿宋" w:eastAsia="仿宋_GB2312"/>
          <w:kern w:val="0"/>
          <w:sz w:val="32"/>
          <w:szCs w:val="32"/>
          <w:u w:val="none"/>
          <w:lang w:eastAsia="zh-CN"/>
        </w:rPr>
        <w:t>着力加强便民利民措施。持续深化“放管服效”和“一次办好”“一网通办”改革，全面推行政法机关审批服务窗口首问负责、限时办结等制度，不断推出户籍、交通管理、出入境、法律援助等便民利民新措施。</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四</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、盯紧扣牢重点任务</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努</w:t>
      </w:r>
      <w:r>
        <w:rPr>
          <w:rFonts w:hint="eastAsia" w:ascii="仿宋_GB2312" w:hAnsi="仿宋" w:eastAsia="仿宋_GB2312"/>
          <w:kern w:val="0"/>
          <w:sz w:val="32"/>
          <w:szCs w:val="32"/>
          <w:u w:val="none"/>
        </w:rPr>
        <w:t>力建设更高水平的平安襄</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汾</w:t>
      </w:r>
      <w:r>
        <w:rPr>
          <w:rFonts w:hint="eastAsia" w:ascii="仿宋_GB2312" w:hAnsi="仿宋" w:eastAsia="仿宋_GB2312"/>
          <w:kern w:val="0"/>
          <w:sz w:val="32"/>
          <w:szCs w:val="32"/>
          <w:u w:val="none"/>
          <w:lang w:val="en-US" w:eastAsia="zh-CN"/>
        </w:rPr>
        <w:t xml:space="preserve">      </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12、</w:t>
      </w:r>
      <w:r>
        <w:rPr>
          <w:rFonts w:hint="eastAsia" w:ascii="仿宋_GB2312" w:hAnsi="仿宋" w:eastAsia="仿宋_GB2312"/>
          <w:kern w:val="0"/>
          <w:sz w:val="32"/>
          <w:szCs w:val="32"/>
          <w:u w:val="none"/>
          <w:lang w:eastAsia="zh-CN"/>
        </w:rPr>
        <w:t>加大常态化扫黑除恶斗争力度。持续巩固扫黑除恶专项斗争成果，继续构建“</w:t>
      </w:r>
      <w:r>
        <w:rPr>
          <w:rFonts w:hint="eastAsia" w:ascii="仿宋_GB2312" w:hAnsi="仿宋" w:eastAsia="仿宋_GB2312"/>
          <w:kern w:val="0"/>
          <w:sz w:val="32"/>
          <w:szCs w:val="32"/>
          <w:u w:val="none"/>
          <w:lang w:val="en-US" w:eastAsia="zh-CN"/>
        </w:rPr>
        <w:t>1+6+N”长效工作机制，</w:t>
      </w:r>
      <w:r>
        <w:rPr>
          <w:rFonts w:hint="eastAsia" w:ascii="仿宋_GB2312" w:hAnsi="仿宋" w:eastAsia="仿宋_GB2312"/>
          <w:kern w:val="0"/>
          <w:sz w:val="32"/>
          <w:szCs w:val="32"/>
          <w:u w:val="none"/>
          <w:lang w:eastAsia="zh-CN"/>
        </w:rPr>
        <w:t>聚焦涉及民生领域的黑恶违法犯罪和农村涉黑涉恶问题，重点打击</w:t>
      </w:r>
      <w:r>
        <w:rPr>
          <w:rFonts w:hint="eastAsia" w:ascii="仿宋_GB2312" w:hAnsi="仿宋" w:eastAsia="仿宋_GB2312"/>
          <w:kern w:val="0"/>
          <w:sz w:val="32"/>
          <w:szCs w:val="32"/>
          <w:u w:val="none"/>
        </w:rPr>
        <w:t>黑恶势力初始犯罪形态</w:t>
      </w:r>
      <w:r>
        <w:rPr>
          <w:rFonts w:hint="eastAsia" w:ascii="仿宋_GB2312" w:hAnsi="仿宋" w:eastAsia="仿宋_GB2312"/>
          <w:kern w:val="0"/>
          <w:sz w:val="32"/>
          <w:szCs w:val="32"/>
          <w:u w:val="none"/>
          <w:lang w:eastAsia="zh-CN"/>
        </w:rPr>
        <w:t>。开展</w:t>
      </w:r>
      <w:r>
        <w:rPr>
          <w:rFonts w:hint="eastAsia" w:ascii="仿宋_GB2312" w:hAnsi="仿宋" w:eastAsia="仿宋_GB2312"/>
          <w:kern w:val="0"/>
          <w:sz w:val="32"/>
          <w:szCs w:val="32"/>
          <w:u w:val="none"/>
        </w:rPr>
        <w:t>金融放贷、工程建设、交通运输、市场流通、资源环保、信息网络、文化旅游、教育卫生等十大重点行业领域专项整治，</w:t>
      </w:r>
      <w:r>
        <w:rPr>
          <w:rFonts w:hint="eastAsia" w:ascii="仿宋_GB2312" w:hAnsi="仿宋" w:eastAsia="仿宋_GB2312"/>
          <w:kern w:val="0"/>
          <w:sz w:val="32"/>
          <w:szCs w:val="32"/>
          <w:u w:val="none"/>
          <w:lang w:eastAsia="zh-CN"/>
        </w:rPr>
        <w:t>从源头铲除黑恶势力滋生土壤。</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13、</w:t>
      </w:r>
      <w:r>
        <w:rPr>
          <w:rFonts w:hint="eastAsia" w:ascii="仿宋_GB2312" w:hAnsi="仿宋" w:eastAsia="仿宋_GB2312"/>
          <w:kern w:val="0"/>
          <w:sz w:val="32"/>
          <w:szCs w:val="32"/>
          <w:u w:val="none"/>
          <w:lang w:eastAsia="zh-CN"/>
        </w:rPr>
        <w:t>加大突出违法犯罪的打击力度。持续深入开展防范打击电信网络诈骗犯罪活动，落实落细“打、防、管、控、宣、治”各项措施，加大行业监管、属地管控和技术反制力度，加强与银行、通讯部门合作，全力提升案前预警、案中阻断、案后止付的技术手段，做好精准宣传、源头防范；健全完善常态化打击整治机制，各成员单位协同发力，继续深入开展黄赌毒、食药环等突出违法犯罪活动，着力解决影响人民群众安全感的突出问题。</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14、</w:t>
      </w:r>
      <w:r>
        <w:rPr>
          <w:rFonts w:hint="eastAsia" w:ascii="仿宋_GB2312" w:hAnsi="仿宋" w:eastAsia="仿宋_GB2312"/>
          <w:kern w:val="0"/>
          <w:sz w:val="32"/>
          <w:szCs w:val="32"/>
          <w:u w:val="none"/>
          <w:lang w:eastAsia="zh-CN"/>
        </w:rPr>
        <w:t>全方位守牢公共安全底线。深入推进社会治安防控体系建设，严格落实巡逻防控“四项机制”，深化道路交通安全“减量控大”八项提升工程。加强公共安全视频监控体系建设。要加强对刑满释放、严重精神病患者等重点人员的管理措施。着力打造“平安校园”和“平安医院”。要严格落实民爆危化、寄递物流等重点行业查验安检措施，协同推动常态化疫情防控各项措施，全力守好公共安全底线。</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15、</w:t>
      </w:r>
      <w:r>
        <w:rPr>
          <w:rFonts w:hint="eastAsia" w:ascii="仿宋_GB2312" w:hAnsi="仿宋" w:eastAsia="仿宋_GB2312"/>
          <w:kern w:val="0"/>
          <w:sz w:val="32"/>
          <w:szCs w:val="32"/>
          <w:u w:val="none"/>
          <w:lang w:eastAsia="zh-CN"/>
        </w:rPr>
        <w:t>有效提升新型风险防控能力。提升5G、人工智能、人脸识别等新技术应用水平，政法机关要加强与金融机构、行业监管部门的协作配合，加大对敏感数据、个人信息的保护力度。全面加强对网络直播、网络借贷、共享经济、预付式消费等新业态分析研判、安全监管，提升对新型风险的识别、预警、防控能力。</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五</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、不断夯实基层基础，奋力打造基层社会治理“襄汾品牌”</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16、</w:t>
      </w:r>
      <w:r>
        <w:rPr>
          <w:rFonts w:hint="eastAsia" w:ascii="仿宋_GB2312" w:hAnsi="仿宋" w:eastAsia="仿宋_GB2312"/>
          <w:kern w:val="0"/>
          <w:sz w:val="32"/>
          <w:szCs w:val="32"/>
          <w:u w:val="none"/>
          <w:lang w:eastAsia="zh-CN"/>
        </w:rPr>
        <w:t>加快推进县域社会治理现代化。制定《襄汾县县域社会治理现代化试点工作方案》，以全面落实试点各项要求为基础，在防范化解网络风险上重点攻坚。在矛盾化解上，要坚持“案结、事了、人和”，确保问题真解决。要积极推进“雪亮工程”建设，整合交警、城管、网格员等资源，加强群防群治，充分发挥人民群众在维护社会治安中的主体作用。强化基层社会治理和公共服务职能，把更多资源、服务、管理下沉到基层，健全基层社会治理新格局。</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17、</w:t>
      </w:r>
      <w:r>
        <w:rPr>
          <w:rFonts w:hint="eastAsia" w:ascii="仿宋_GB2312" w:hAnsi="仿宋" w:eastAsia="仿宋_GB2312"/>
          <w:kern w:val="0"/>
          <w:sz w:val="32"/>
          <w:szCs w:val="32"/>
          <w:u w:val="none"/>
          <w:lang w:eastAsia="zh-CN"/>
        </w:rPr>
        <w:t>完善一站式矛盾纠纷排查化解机制。</w:t>
      </w:r>
      <w:r>
        <w:rPr>
          <w:rFonts w:hint="eastAsia" w:ascii="仿宋_GB2312" w:hAnsi="仿宋" w:eastAsia="仿宋_GB2312"/>
          <w:kern w:val="0"/>
          <w:sz w:val="32"/>
          <w:szCs w:val="32"/>
          <w:u w:val="none"/>
        </w:rPr>
        <w:t>以</w:t>
      </w:r>
      <w:r>
        <w:rPr>
          <w:rFonts w:hint="eastAsia" w:ascii="仿宋_GB2312" w:hAnsi="仿宋" w:eastAsia="仿宋_GB2312"/>
          <w:kern w:val="0"/>
          <w:sz w:val="32"/>
          <w:szCs w:val="32"/>
          <w:u w:val="none"/>
          <w:lang w:eastAsia="zh-CN"/>
        </w:rPr>
        <w:t>开展矛盾纠纷</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大排查、大整治</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专项行动</w:t>
      </w:r>
      <w:r>
        <w:rPr>
          <w:rFonts w:hint="eastAsia" w:ascii="仿宋_GB2312" w:hAnsi="仿宋" w:eastAsia="仿宋_GB2312"/>
          <w:kern w:val="0"/>
          <w:sz w:val="32"/>
          <w:szCs w:val="32"/>
          <w:u w:val="none"/>
        </w:rPr>
        <w:t>为抓手，</w:t>
      </w:r>
      <w:r>
        <w:rPr>
          <w:rFonts w:hint="eastAsia" w:ascii="仿宋_GB2312" w:hAnsi="仿宋" w:eastAsia="仿宋_GB2312"/>
          <w:kern w:val="0"/>
          <w:sz w:val="32"/>
          <w:szCs w:val="32"/>
          <w:u w:val="none"/>
          <w:lang w:eastAsia="zh-CN"/>
        </w:rPr>
        <w:t>严格落实</w:t>
      </w:r>
      <w:r>
        <w:rPr>
          <w:rFonts w:hint="eastAsia" w:ascii="仿宋_GB2312" w:hAnsi="仿宋" w:eastAsia="仿宋_GB2312"/>
          <w:kern w:val="0"/>
          <w:sz w:val="32"/>
          <w:szCs w:val="32"/>
          <w:u w:val="none"/>
        </w:rPr>
        <w:t>领导接访制、“</w:t>
      </w:r>
      <w:r>
        <w:rPr>
          <w:rFonts w:hint="eastAsia" w:ascii="仿宋_GB2312" w:hAnsi="仿宋" w:eastAsia="仿宋_GB2312"/>
          <w:kern w:val="0"/>
          <w:sz w:val="32"/>
          <w:szCs w:val="32"/>
          <w:u w:val="none"/>
          <w:lang w:eastAsia="zh-CN"/>
        </w:rPr>
        <w:t>五包一</w:t>
      </w:r>
      <w:r>
        <w:rPr>
          <w:rFonts w:hint="eastAsia" w:ascii="仿宋_GB2312" w:hAnsi="仿宋" w:eastAsia="仿宋_GB2312"/>
          <w:kern w:val="0"/>
          <w:sz w:val="32"/>
          <w:szCs w:val="32"/>
          <w:u w:val="none"/>
        </w:rPr>
        <w:t>”信访</w:t>
      </w:r>
      <w:r>
        <w:rPr>
          <w:rFonts w:hint="eastAsia" w:ascii="仿宋_GB2312" w:hAnsi="仿宋" w:eastAsia="仿宋_GB2312"/>
          <w:kern w:val="0"/>
          <w:sz w:val="32"/>
          <w:szCs w:val="32"/>
          <w:u w:val="none"/>
          <w:lang w:eastAsia="zh-CN"/>
        </w:rPr>
        <w:t>矛盾化解等</w:t>
      </w:r>
      <w:r>
        <w:rPr>
          <w:rFonts w:hint="eastAsia" w:ascii="仿宋_GB2312" w:hAnsi="仿宋" w:eastAsia="仿宋_GB2312"/>
          <w:kern w:val="0"/>
          <w:sz w:val="32"/>
          <w:szCs w:val="32"/>
          <w:u w:val="none"/>
        </w:rPr>
        <w:t>工作机制</w:t>
      </w:r>
      <w:r>
        <w:rPr>
          <w:rFonts w:hint="eastAsia" w:ascii="仿宋_GB2312" w:hAnsi="仿宋" w:eastAsia="仿宋_GB2312"/>
          <w:kern w:val="0"/>
          <w:sz w:val="32"/>
          <w:szCs w:val="32"/>
          <w:u w:val="none"/>
          <w:lang w:eastAsia="zh-CN"/>
        </w:rPr>
        <w:t>；深入排查化解涉疫及邻里纠纷、债务纠纷等矛盾，坚决防止“民转刑”“民转群”事件的发生</w:t>
      </w:r>
      <w:r>
        <w:rPr>
          <w:rFonts w:hint="eastAsia" w:ascii="仿宋_GB2312" w:hAnsi="仿宋" w:eastAsia="仿宋_GB2312"/>
          <w:kern w:val="0"/>
          <w:sz w:val="32"/>
          <w:szCs w:val="32"/>
          <w:u w:val="none"/>
        </w:rPr>
        <w:t>。狠抓重复信访专项治理，尽最大努力化解矛盾、办结积案。</w:t>
      </w:r>
      <w:r>
        <w:rPr>
          <w:rFonts w:hint="eastAsia" w:ascii="仿宋_GB2312" w:hAnsi="仿宋" w:eastAsia="仿宋_GB2312"/>
          <w:kern w:val="0"/>
          <w:sz w:val="32"/>
          <w:szCs w:val="32"/>
          <w:u w:val="none"/>
          <w:lang w:eastAsia="zh-CN"/>
        </w:rPr>
        <w:t>要整合乡镇综治中心、派出所、人民法庭、司法所、信访接待中心、矛调中心、心理服务室等资源，进一步完善矛盾纠纷调解中心。</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18、</w:t>
      </w:r>
      <w:r>
        <w:rPr>
          <w:rFonts w:hint="eastAsia" w:ascii="仿宋_GB2312" w:hAnsi="仿宋" w:eastAsia="仿宋_GB2312"/>
          <w:kern w:val="0"/>
          <w:sz w:val="32"/>
          <w:szCs w:val="32"/>
          <w:u w:val="none"/>
          <w:lang w:eastAsia="zh-CN"/>
        </w:rPr>
        <w:t>深入推进“全科网格”全覆盖。开展“综治中心”提升年活动，年内实现综治中心与公安、信访联勤联动，进一步完善网格员管理、素质提升、考评激励等机制，全面推广“网格化</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巷长制”工作经验，打造基层社会治理“襄汾模式”。</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六</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w:t>
      </w:r>
      <w:r>
        <w:rPr>
          <w:rFonts w:hint="eastAsia" w:ascii="仿宋_GB2312" w:hAnsi="仿宋" w:eastAsia="仿宋_GB2312"/>
          <w:kern w:val="0"/>
          <w:sz w:val="32"/>
          <w:szCs w:val="32"/>
          <w:u w:val="none"/>
        </w:rPr>
        <w:t>全面深化</w:t>
      </w:r>
      <w:r>
        <w:rPr>
          <w:rFonts w:hint="eastAsia" w:ascii="仿宋_GB2312" w:hAnsi="仿宋" w:eastAsia="仿宋_GB2312"/>
          <w:kern w:val="0"/>
          <w:sz w:val="32"/>
          <w:szCs w:val="32"/>
          <w:u w:val="none"/>
          <w:lang w:eastAsia="zh-CN"/>
        </w:rPr>
        <w:t>政法领域</w:t>
      </w:r>
      <w:r>
        <w:rPr>
          <w:rFonts w:hint="eastAsia" w:ascii="仿宋_GB2312" w:hAnsi="仿宋" w:eastAsia="仿宋_GB2312"/>
          <w:kern w:val="0"/>
          <w:sz w:val="32"/>
          <w:szCs w:val="32"/>
          <w:u w:val="none"/>
        </w:rPr>
        <w:t>改革，极力提升执法</w:t>
      </w:r>
      <w:r>
        <w:rPr>
          <w:rFonts w:hint="eastAsia" w:ascii="仿宋_GB2312" w:hAnsi="仿宋" w:eastAsia="仿宋_GB2312"/>
          <w:kern w:val="0"/>
          <w:sz w:val="32"/>
          <w:szCs w:val="32"/>
          <w:u w:val="none"/>
          <w:lang w:eastAsia="zh-CN"/>
        </w:rPr>
        <w:t>司法质效和公信力</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19、</w:t>
      </w:r>
      <w:r>
        <w:rPr>
          <w:rFonts w:hint="eastAsia" w:ascii="仿宋_GB2312" w:hAnsi="仿宋" w:eastAsia="仿宋_GB2312"/>
          <w:kern w:val="0"/>
          <w:sz w:val="32"/>
          <w:szCs w:val="32"/>
          <w:u w:val="none"/>
          <w:lang w:eastAsia="zh-CN"/>
        </w:rPr>
        <w:t>进一步健全完善政法机构职能体系。</w:t>
      </w:r>
      <w:r>
        <w:rPr>
          <w:rFonts w:hint="eastAsia" w:ascii="仿宋_GB2312" w:hAnsi="仿宋" w:eastAsia="仿宋_GB2312"/>
          <w:kern w:val="0"/>
          <w:sz w:val="32"/>
          <w:szCs w:val="32"/>
          <w:u w:val="none"/>
        </w:rPr>
        <w:t>按照省市要求，深化法检两院</w:t>
      </w:r>
      <w:r>
        <w:rPr>
          <w:rFonts w:hint="eastAsia" w:ascii="仿宋_GB2312" w:hAnsi="仿宋" w:eastAsia="仿宋_GB2312"/>
          <w:kern w:val="0"/>
          <w:sz w:val="32"/>
          <w:szCs w:val="32"/>
          <w:u w:val="none"/>
          <w:lang w:eastAsia="zh-CN"/>
        </w:rPr>
        <w:t>审级职能定位</w:t>
      </w:r>
      <w:r>
        <w:rPr>
          <w:rFonts w:hint="eastAsia" w:ascii="仿宋_GB2312" w:hAnsi="仿宋" w:eastAsia="仿宋_GB2312"/>
          <w:kern w:val="0"/>
          <w:sz w:val="32"/>
          <w:szCs w:val="32"/>
          <w:u w:val="none"/>
        </w:rPr>
        <w:t>改革</w:t>
      </w:r>
      <w:r>
        <w:rPr>
          <w:rFonts w:hint="eastAsia" w:ascii="仿宋_GB2312" w:hAnsi="仿宋" w:eastAsia="仿宋_GB2312"/>
          <w:kern w:val="0"/>
          <w:sz w:val="32"/>
          <w:szCs w:val="32"/>
          <w:u w:val="none"/>
          <w:lang w:eastAsia="zh-CN"/>
        </w:rPr>
        <w:t>和</w:t>
      </w:r>
      <w:r>
        <w:rPr>
          <w:rFonts w:hint="eastAsia" w:ascii="仿宋_GB2312" w:hAnsi="仿宋" w:eastAsia="仿宋_GB2312"/>
          <w:kern w:val="0"/>
          <w:sz w:val="32"/>
          <w:szCs w:val="32"/>
          <w:u w:val="none"/>
        </w:rPr>
        <w:t>公安机关</w:t>
      </w:r>
      <w:r>
        <w:rPr>
          <w:rFonts w:hint="eastAsia" w:ascii="仿宋_GB2312" w:hAnsi="仿宋" w:eastAsia="仿宋_GB2312"/>
          <w:kern w:val="0"/>
          <w:sz w:val="32"/>
          <w:szCs w:val="32"/>
          <w:u w:val="none"/>
          <w:lang w:eastAsia="zh-CN"/>
        </w:rPr>
        <w:t>机构</w:t>
      </w:r>
      <w:r>
        <w:rPr>
          <w:rFonts w:hint="eastAsia" w:ascii="仿宋_GB2312" w:hAnsi="仿宋" w:eastAsia="仿宋_GB2312"/>
          <w:kern w:val="0"/>
          <w:sz w:val="32"/>
          <w:szCs w:val="32"/>
          <w:u w:val="none"/>
        </w:rPr>
        <w:t>改革。政法各</w:t>
      </w:r>
      <w:r>
        <w:rPr>
          <w:rFonts w:hint="eastAsia" w:ascii="仿宋_GB2312" w:hAnsi="仿宋" w:eastAsia="仿宋_GB2312"/>
          <w:kern w:val="0"/>
          <w:sz w:val="32"/>
          <w:szCs w:val="32"/>
          <w:u w:val="none"/>
          <w:lang w:eastAsia="zh-CN"/>
        </w:rPr>
        <w:t>单位</w:t>
      </w:r>
      <w:r>
        <w:rPr>
          <w:rFonts w:hint="eastAsia" w:ascii="仿宋_GB2312" w:hAnsi="仿宋" w:eastAsia="仿宋_GB2312"/>
          <w:kern w:val="0"/>
          <w:sz w:val="32"/>
          <w:szCs w:val="32"/>
          <w:u w:val="none"/>
        </w:rPr>
        <w:t>要不断优化职权、机构设置和力量配置，构建起有统有分、配合有力、制约有效的政法机构职能体系。</w:t>
      </w:r>
      <w:r>
        <w:rPr>
          <w:rFonts w:hint="eastAsia" w:ascii="仿宋_GB2312" w:hAnsi="仿宋" w:eastAsia="仿宋_GB2312"/>
          <w:kern w:val="0"/>
          <w:sz w:val="32"/>
          <w:szCs w:val="32"/>
          <w:u w:val="none"/>
          <w:lang w:eastAsia="zh-CN"/>
        </w:rPr>
        <w:t>完善行政复议体制机制，加强法学会组织建设</w:t>
      </w:r>
      <w:r>
        <w:rPr>
          <w:rFonts w:hint="eastAsia" w:ascii="仿宋_GB2312" w:hAnsi="仿宋" w:eastAsia="仿宋_GB2312"/>
          <w:kern w:val="0"/>
          <w:sz w:val="32"/>
          <w:szCs w:val="32"/>
          <w:u w:val="none"/>
        </w:rPr>
        <w:t>，推动形成基层政法工作新机制。</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20、</w:t>
      </w:r>
      <w:r>
        <w:rPr>
          <w:rFonts w:hint="eastAsia" w:ascii="仿宋_GB2312" w:hAnsi="仿宋" w:eastAsia="仿宋_GB2312"/>
          <w:kern w:val="0"/>
          <w:sz w:val="32"/>
          <w:szCs w:val="32"/>
          <w:u w:val="none"/>
        </w:rPr>
        <w:t>进一步健全</w:t>
      </w:r>
      <w:r>
        <w:rPr>
          <w:rFonts w:hint="eastAsia" w:ascii="仿宋_GB2312" w:hAnsi="仿宋" w:eastAsia="仿宋_GB2312"/>
          <w:kern w:val="0"/>
          <w:sz w:val="32"/>
          <w:szCs w:val="32"/>
          <w:u w:val="none"/>
          <w:lang w:eastAsia="zh-CN"/>
        </w:rPr>
        <w:t>完善执法司法权运行模式。细化执法司法人员正、负面权力清单，大力引导广大政法干警正确履职，紧盯可能影响执法司法公正的侦查、检察、审判、执行各个环节，健全完善执法司法责任制，深化人员管理、业绩考评、履职保障等制度改革，加快构建科学有序、权责统一的执法司法权运行新机制。</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21、</w:t>
      </w:r>
      <w:r>
        <w:rPr>
          <w:rFonts w:hint="eastAsia" w:ascii="仿宋_GB2312" w:hAnsi="仿宋" w:eastAsia="仿宋_GB2312"/>
          <w:kern w:val="0"/>
          <w:sz w:val="32"/>
          <w:szCs w:val="32"/>
          <w:u w:val="none"/>
          <w:lang w:eastAsia="zh-CN"/>
        </w:rPr>
        <w:t>进一步健全完善执法司法制约监督体系。健全执法司法权力运行相互制约体制机制，完善党委监督、内部监督、法律监督机制。开展对员额法官、检察官办案质效专项执法检查。严格落实执法监督“五查联动”机制和中央《关于加强新时代检察机关法律监督工作的意见》，不断提升法律监督水平。深化巡回检察工作，推进检察机关、公安机关侦查监督与协作配合机制建设。完善督责、考责、追责机制，合理界定错案范围。压实各系统内部制约监督机制，切实发挥好制度对执法司法权力运行的制约作用。</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22、</w:t>
      </w:r>
      <w:r>
        <w:rPr>
          <w:rFonts w:hint="eastAsia" w:ascii="仿宋_GB2312" w:hAnsi="仿宋" w:eastAsia="仿宋_GB2312"/>
          <w:kern w:val="0"/>
          <w:sz w:val="32"/>
          <w:szCs w:val="32"/>
          <w:u w:val="none"/>
          <w:lang w:eastAsia="zh-CN"/>
        </w:rPr>
        <w:t>进一步健全完善诉讼制度体系。</w:t>
      </w:r>
      <w:r>
        <w:rPr>
          <w:rFonts w:hint="eastAsia" w:ascii="仿宋_GB2312" w:hAnsi="仿宋" w:eastAsia="仿宋_GB2312"/>
          <w:kern w:val="0"/>
          <w:sz w:val="32"/>
          <w:szCs w:val="32"/>
          <w:u w:val="none"/>
        </w:rPr>
        <w:t>继续推进以审判为中心的刑事诉讼制度改革，</w:t>
      </w:r>
      <w:r>
        <w:rPr>
          <w:rFonts w:hint="eastAsia" w:ascii="仿宋_GB2312" w:hAnsi="仿宋" w:eastAsia="仿宋_GB2312"/>
          <w:kern w:val="0"/>
          <w:sz w:val="32"/>
          <w:szCs w:val="32"/>
          <w:u w:val="none"/>
          <w:lang w:eastAsia="zh-CN"/>
        </w:rPr>
        <w:t>全面贯彻修改后的《民事诉讼法》，落实繁简分流、独任审理、在线进行民事诉讼活动等新规定。完善民事案件审判检察监督机制和案件调阅制度。健全政法跨部门数据汇集共享机制，推进执法司法机关协同办案。</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23、</w:t>
      </w:r>
      <w:r>
        <w:rPr>
          <w:rFonts w:hint="eastAsia" w:ascii="仿宋_GB2312" w:hAnsi="仿宋" w:eastAsia="仿宋_GB2312"/>
          <w:kern w:val="0"/>
          <w:sz w:val="32"/>
          <w:szCs w:val="32"/>
          <w:u w:val="none"/>
          <w:lang w:eastAsia="zh-CN"/>
        </w:rPr>
        <w:t>进一步统筹推进依法治县工作。全面推动“八五”普法启动。完善公共法律服务体系，高标准打造公共法律服务中心，提升县、乡两级公共法律服务中心（站）服务效能。继续加强县、乡、村三级矛盾纠纷调解组织和行业性专业性人民调解委员会建设，推动成立人民调解协会。贯彻落实《社区矫正法》，加强社区矫正、安置帮教工作。</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rPr>
        <w:t>七</w:t>
      </w:r>
      <w:r>
        <w:rPr>
          <w:rFonts w:hint="eastAsia" w:ascii="仿宋_GB2312" w:hAnsi="仿宋" w:eastAsia="仿宋_GB2312"/>
          <w:kern w:val="0"/>
          <w:sz w:val="32"/>
          <w:szCs w:val="32"/>
          <w:u w:val="none"/>
          <w:lang w:val="en-US" w:eastAsia="zh-CN"/>
        </w:rPr>
        <w:t>)</w:t>
      </w:r>
      <w:r>
        <w:rPr>
          <w:rFonts w:hint="eastAsia" w:ascii="仿宋_GB2312" w:hAnsi="仿宋" w:eastAsia="仿宋_GB2312"/>
          <w:kern w:val="0"/>
          <w:sz w:val="32"/>
          <w:szCs w:val="32"/>
          <w:u w:val="none"/>
          <w:lang w:eastAsia="zh-CN"/>
        </w:rPr>
        <w:t>、巩固深化教育整顿成果</w:t>
      </w:r>
      <w:r>
        <w:rPr>
          <w:rFonts w:hint="eastAsia" w:ascii="仿宋_GB2312" w:hAnsi="仿宋" w:eastAsia="仿宋_GB2312"/>
          <w:kern w:val="0"/>
          <w:sz w:val="32"/>
          <w:szCs w:val="32"/>
          <w:u w:val="none"/>
        </w:rPr>
        <w:t>，致力锻造高素质过硬政法队伍</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24、</w:t>
      </w:r>
      <w:r>
        <w:rPr>
          <w:rFonts w:hint="eastAsia" w:ascii="仿宋_GB2312" w:hAnsi="仿宋" w:eastAsia="仿宋_GB2312"/>
          <w:kern w:val="0"/>
          <w:sz w:val="32"/>
          <w:szCs w:val="32"/>
          <w:u w:val="none"/>
          <w:lang w:eastAsia="zh-CN"/>
        </w:rPr>
        <w:t>巩固深化政治建设成果。强化《中国共产党政法工作条例》的落实力度，加大督查检查力度，确保《条例》落实到位。推进政治轮训常态化，要举办全体干部职工轮训班，实现全员覆盖。</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25、</w:t>
      </w:r>
      <w:r>
        <w:rPr>
          <w:rFonts w:hint="eastAsia" w:ascii="仿宋_GB2312" w:hAnsi="仿宋" w:eastAsia="仿宋_GB2312"/>
          <w:kern w:val="0"/>
          <w:sz w:val="32"/>
          <w:szCs w:val="32"/>
          <w:u w:val="none"/>
          <w:lang w:eastAsia="zh-CN"/>
        </w:rPr>
        <w:t>巩固深化</w:t>
      </w:r>
      <w:r>
        <w:rPr>
          <w:rFonts w:hint="eastAsia" w:ascii="仿宋_GB2312" w:hAnsi="仿宋" w:eastAsia="仿宋_GB2312"/>
          <w:kern w:val="0"/>
          <w:sz w:val="32"/>
          <w:szCs w:val="32"/>
          <w:u w:val="none"/>
        </w:rPr>
        <w:t>正风肃纪</w:t>
      </w:r>
      <w:r>
        <w:rPr>
          <w:rFonts w:hint="eastAsia" w:ascii="仿宋_GB2312" w:hAnsi="仿宋" w:eastAsia="仿宋_GB2312"/>
          <w:kern w:val="0"/>
          <w:sz w:val="32"/>
          <w:szCs w:val="32"/>
          <w:u w:val="none"/>
          <w:lang w:eastAsia="zh-CN"/>
        </w:rPr>
        <w:t>成果。严格落实新时代政法干警“十个严禁”，加大监督执纪问责力度，树牢政法干警“红线”思维，紧盯“关键少数”和重点领域、重点岗位，坚持有案必查、有腐必惩，坚决清除“害群之马”。</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val="en-US" w:eastAsia="zh-CN"/>
        </w:rPr>
        <w:t>25、</w:t>
      </w:r>
      <w:r>
        <w:rPr>
          <w:rFonts w:hint="eastAsia" w:ascii="仿宋_GB2312" w:hAnsi="仿宋" w:eastAsia="仿宋_GB2312"/>
          <w:kern w:val="0"/>
          <w:sz w:val="32"/>
          <w:szCs w:val="32"/>
          <w:u w:val="none"/>
          <w:lang w:eastAsia="zh-CN"/>
        </w:rPr>
        <w:t>巩固深化顽瘴痼疾整治成果。持续整治违反防止干预司法“三个规定”、违规经商办企业、违规违法判刑假释暂予监外执行、有案不立、压案不查、有罪不究等问题。对上级交办的</w:t>
      </w:r>
      <w:r>
        <w:rPr>
          <w:rFonts w:hint="eastAsia" w:ascii="仿宋_GB2312" w:hAnsi="仿宋" w:eastAsia="仿宋_GB2312"/>
          <w:kern w:val="0"/>
          <w:sz w:val="32"/>
          <w:szCs w:val="32"/>
          <w:u w:val="none"/>
          <w:lang w:val="en-US" w:eastAsia="zh-CN"/>
        </w:rPr>
        <w:t>涉法涉诉信访案件，</w:t>
      </w:r>
      <w:r>
        <w:rPr>
          <w:rFonts w:hint="eastAsia" w:ascii="仿宋_GB2312" w:hAnsi="仿宋" w:eastAsia="仿宋_GB2312"/>
          <w:kern w:val="0"/>
          <w:sz w:val="32"/>
          <w:szCs w:val="32"/>
          <w:u w:val="none"/>
          <w:lang w:eastAsia="zh-CN"/>
        </w:rPr>
        <w:t>开展评查化解专项行动</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切实推动息诉罢访。</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26、</w:t>
      </w:r>
      <w:r>
        <w:rPr>
          <w:rFonts w:hint="eastAsia" w:ascii="仿宋_GB2312" w:hAnsi="仿宋" w:eastAsia="仿宋_GB2312"/>
          <w:kern w:val="0"/>
          <w:sz w:val="32"/>
          <w:szCs w:val="32"/>
          <w:u w:val="none"/>
          <w:lang w:eastAsia="zh-CN"/>
        </w:rPr>
        <w:t>巩固深化</w:t>
      </w:r>
      <w:r>
        <w:rPr>
          <w:rFonts w:hint="eastAsia" w:ascii="仿宋_GB2312" w:hAnsi="仿宋" w:eastAsia="仿宋_GB2312"/>
          <w:kern w:val="0"/>
          <w:sz w:val="32"/>
          <w:szCs w:val="32"/>
          <w:u w:val="none"/>
        </w:rPr>
        <w:t>素能</w:t>
      </w:r>
      <w:r>
        <w:rPr>
          <w:rFonts w:hint="eastAsia" w:ascii="仿宋_GB2312" w:hAnsi="仿宋" w:eastAsia="仿宋_GB2312"/>
          <w:kern w:val="0"/>
          <w:sz w:val="32"/>
          <w:szCs w:val="32"/>
          <w:u w:val="none"/>
          <w:lang w:eastAsia="zh-CN"/>
        </w:rPr>
        <w:t>培训成果。严格</w:t>
      </w:r>
      <w:r>
        <w:rPr>
          <w:rFonts w:hint="eastAsia" w:ascii="仿宋_GB2312" w:hAnsi="仿宋" w:eastAsia="仿宋_GB2312"/>
          <w:kern w:val="0"/>
          <w:sz w:val="32"/>
          <w:szCs w:val="32"/>
          <w:u w:val="none"/>
        </w:rPr>
        <w:t>落实</w:t>
      </w:r>
      <w:r>
        <w:rPr>
          <w:rFonts w:hint="eastAsia" w:ascii="仿宋_GB2312" w:hAnsi="仿宋" w:eastAsia="仿宋_GB2312"/>
          <w:kern w:val="0"/>
          <w:sz w:val="32"/>
          <w:szCs w:val="32"/>
          <w:u w:val="none"/>
          <w:lang w:eastAsia="zh-CN"/>
        </w:rPr>
        <w:t>一线政法干警年度培训学时</w:t>
      </w:r>
      <w:r>
        <w:rPr>
          <w:rFonts w:hint="eastAsia" w:ascii="仿宋_GB2312" w:hAnsi="仿宋" w:eastAsia="仿宋_GB2312"/>
          <w:kern w:val="0"/>
          <w:sz w:val="32"/>
          <w:szCs w:val="32"/>
          <w:u w:val="none"/>
        </w:rPr>
        <w:t>，</w:t>
      </w:r>
      <w:r>
        <w:rPr>
          <w:rFonts w:hint="eastAsia" w:ascii="仿宋_GB2312" w:hAnsi="仿宋" w:eastAsia="仿宋_GB2312"/>
          <w:kern w:val="0"/>
          <w:sz w:val="32"/>
          <w:szCs w:val="32"/>
          <w:u w:val="none"/>
          <w:lang w:eastAsia="zh-CN"/>
        </w:rPr>
        <w:t>全面推行领导干部上讲台，加强法官、检察官、警察同堂培训，</w:t>
      </w:r>
      <w:r>
        <w:rPr>
          <w:rFonts w:hint="eastAsia" w:ascii="仿宋_GB2312" w:hAnsi="仿宋" w:eastAsia="仿宋_GB2312"/>
          <w:kern w:val="0"/>
          <w:sz w:val="32"/>
          <w:szCs w:val="32"/>
          <w:u w:val="none"/>
        </w:rPr>
        <w:t>健全教、学、练、战一体化培训机制，全面提升政法干警的专业实战水平。提高年轻干警解决实际问题、驾驭复杂局面的能力。</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val="en-US" w:eastAsia="zh-CN"/>
        </w:rPr>
        <w:t>27、</w:t>
      </w:r>
      <w:r>
        <w:rPr>
          <w:rFonts w:hint="eastAsia" w:ascii="仿宋_GB2312" w:hAnsi="仿宋" w:eastAsia="仿宋_GB2312"/>
          <w:kern w:val="0"/>
          <w:sz w:val="32"/>
          <w:szCs w:val="32"/>
          <w:u w:val="none"/>
          <w:lang w:eastAsia="zh-CN"/>
        </w:rPr>
        <w:t>巩固深化正向激励成果。大力宣传</w:t>
      </w:r>
      <w:r>
        <w:rPr>
          <w:rFonts w:hint="eastAsia" w:ascii="仿宋_GB2312" w:hAnsi="仿宋" w:eastAsia="仿宋_GB2312"/>
          <w:kern w:val="0"/>
          <w:sz w:val="32"/>
          <w:szCs w:val="32"/>
          <w:u w:val="none"/>
        </w:rPr>
        <w:t>先进典型事迹，全力营造学习英模、崇尚英模、争当英模的浓厚氛围。健全政法干警</w:t>
      </w:r>
      <w:r>
        <w:rPr>
          <w:rFonts w:hint="eastAsia" w:ascii="仿宋_GB2312" w:hAnsi="仿宋" w:eastAsia="仿宋_GB2312"/>
          <w:kern w:val="0"/>
          <w:sz w:val="32"/>
          <w:szCs w:val="32"/>
          <w:u w:val="none"/>
          <w:lang w:eastAsia="zh-CN"/>
        </w:rPr>
        <w:t>受到侵害救济保障和不实举报及时澄清</w:t>
      </w:r>
      <w:r>
        <w:rPr>
          <w:rFonts w:hint="eastAsia" w:ascii="仿宋_GB2312" w:hAnsi="仿宋" w:eastAsia="仿宋_GB2312"/>
          <w:kern w:val="0"/>
          <w:sz w:val="32"/>
          <w:szCs w:val="32"/>
          <w:u w:val="none"/>
        </w:rPr>
        <w:t>机制，</w:t>
      </w:r>
      <w:r>
        <w:rPr>
          <w:rFonts w:hint="eastAsia" w:ascii="仿宋_GB2312" w:hAnsi="仿宋" w:eastAsia="仿宋_GB2312"/>
          <w:kern w:val="0"/>
          <w:sz w:val="32"/>
          <w:szCs w:val="32"/>
          <w:u w:val="none"/>
          <w:lang w:eastAsia="zh-CN"/>
        </w:rPr>
        <w:t>构建关爱扶助因公牺牲或伤残干警家庭常态化机制，</w:t>
      </w:r>
      <w:r>
        <w:rPr>
          <w:rFonts w:hint="eastAsia" w:ascii="仿宋_GB2312" w:hAnsi="仿宋" w:eastAsia="仿宋_GB2312"/>
          <w:kern w:val="0"/>
          <w:sz w:val="32"/>
          <w:szCs w:val="32"/>
          <w:u w:val="none"/>
        </w:rPr>
        <w:t>以</w:t>
      </w:r>
      <w:r>
        <w:rPr>
          <w:rFonts w:hint="eastAsia" w:ascii="仿宋_GB2312" w:hAnsi="仿宋" w:eastAsia="仿宋_GB2312"/>
          <w:kern w:val="0"/>
          <w:sz w:val="32"/>
          <w:szCs w:val="32"/>
          <w:u w:val="none"/>
          <w:lang w:eastAsia="zh-CN"/>
        </w:rPr>
        <w:t>充沛的正能量、响亮的主旋律来</w:t>
      </w:r>
      <w:r>
        <w:rPr>
          <w:rFonts w:hint="eastAsia" w:ascii="仿宋_GB2312" w:hAnsi="仿宋" w:eastAsia="仿宋_GB2312"/>
          <w:kern w:val="0"/>
          <w:sz w:val="32"/>
          <w:szCs w:val="32"/>
          <w:u w:val="none"/>
        </w:rPr>
        <w:t>引领</w:t>
      </w:r>
      <w:r>
        <w:rPr>
          <w:rFonts w:hint="eastAsia" w:ascii="仿宋_GB2312" w:hAnsi="仿宋" w:eastAsia="仿宋_GB2312"/>
          <w:kern w:val="0"/>
          <w:sz w:val="32"/>
          <w:szCs w:val="32"/>
          <w:u w:val="none"/>
          <w:lang w:eastAsia="zh-CN"/>
        </w:rPr>
        <w:t>政法干警</w:t>
      </w:r>
      <w:r>
        <w:rPr>
          <w:rFonts w:hint="eastAsia" w:ascii="仿宋_GB2312" w:hAnsi="仿宋" w:eastAsia="仿宋_GB2312"/>
          <w:kern w:val="0"/>
          <w:sz w:val="32"/>
          <w:szCs w:val="32"/>
          <w:u w:val="none"/>
        </w:rPr>
        <w:t>干事创业。</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中共襄汾县委政法委员会</w:t>
      </w:r>
      <w:r>
        <w:rPr>
          <w:rFonts w:hint="eastAsia" w:ascii="仿宋_GB2312" w:hAnsi="仿宋_GB2312" w:eastAsia="仿宋_GB2312" w:cs="仿宋_GB2312"/>
          <w:b w:val="0"/>
          <w:bCs w:val="0"/>
          <w:sz w:val="32"/>
          <w:szCs w:val="32"/>
          <w:u w:val="none"/>
          <w:lang w:val="en-US" w:eastAsia="zh-CN"/>
        </w:rPr>
        <w:t>2022年</w:t>
      </w:r>
      <w:r>
        <w:rPr>
          <w:rFonts w:hint="eastAsia" w:ascii="仿宋_GB2312" w:hAnsi="仿宋" w:eastAsia="仿宋_GB2312" w:cs="宋体"/>
          <w:kern w:val="0"/>
          <w:sz w:val="32"/>
          <w:szCs w:val="32"/>
          <w:u w:val="none"/>
        </w:rPr>
        <w:t>国有资本经营预算收支预算表</w:t>
      </w:r>
    </w:p>
    <w:p>
      <w:pPr>
        <w:widowControl/>
        <w:numPr>
          <w:ilvl w:val="0"/>
          <w:numId w:val="1"/>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w:t>
      </w:r>
      <w:r>
        <w:rPr>
          <w:rFonts w:hint="eastAsia" w:ascii="仿宋_GB2312" w:hAnsi="楷体" w:eastAsia="仿宋_GB2312"/>
          <w:kern w:val="0"/>
          <w:sz w:val="32"/>
          <w:szCs w:val="32"/>
          <w:u w:val="none"/>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w:t>
      </w:r>
      <w:r>
        <w:rPr>
          <w:rFonts w:hint="eastAsia" w:ascii="仿宋_GB2312" w:hAnsi="楷体" w:eastAsia="仿宋_GB2312"/>
          <w:kern w:val="0"/>
          <w:sz w:val="32"/>
          <w:szCs w:val="32"/>
          <w:u w:val="none"/>
          <w:lang w:val="en-US" w:eastAsia="zh-CN"/>
        </w:rPr>
        <w:t>三</w:t>
      </w:r>
      <w:r>
        <w:rPr>
          <w:rFonts w:hint="eastAsia" w:ascii="仿宋_GB2312" w:hAnsi="楷体" w:eastAsia="仿宋_GB2312"/>
          <w:kern w:val="0"/>
          <w:sz w:val="32"/>
          <w:szCs w:val="32"/>
          <w:u w:val="none"/>
        </w:rPr>
        <w:t>、</w:t>
      </w:r>
      <w:r>
        <w:rPr>
          <w:rFonts w:hint="eastAsia" w:ascii="仿宋_GB2312" w:hAnsi="宋体" w:eastAsia="仿宋_GB2312" w:cs="Times New Roman"/>
          <w:sz w:val="32"/>
          <w:szCs w:val="32"/>
          <w:u w:val="none"/>
          <w:lang w:val="en-US" w:eastAsia="zh-CN"/>
        </w:rPr>
        <w:t>中共襄汾县委政法委员会</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年项目支出绩效目标表</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339.11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87.15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339.11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87.15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2022年工作项目增加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widowControl/>
        <w:spacing w:line="560" w:lineRule="exact"/>
        <w:ind w:firstLine="640"/>
        <w:rPr>
          <w:rFonts w:hint="eastAsia" w:ascii="仿宋_GB2312" w:hAnsi="仿宋_GB2312" w:eastAsia="仿宋_GB2312" w:cs="仿宋_GB2312"/>
          <w:color w:val="000000"/>
          <w:kern w:val="0"/>
          <w:sz w:val="31"/>
          <w:szCs w:val="31"/>
          <w:u w:val="none"/>
          <w:lang w:val="en-US" w:eastAsia="zh-CN" w:bidi="ar"/>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widowControl/>
        <w:spacing w:line="560" w:lineRule="exact"/>
        <w:ind w:firstLine="640"/>
        <w:rPr>
          <w:rFonts w:hint="eastAsia" w:ascii="仿宋_GB2312" w:hAnsi="仿宋_GB2312" w:eastAsia="仿宋_GB2312" w:cs="仿宋_GB2312"/>
          <w:color w:val="000000"/>
          <w:kern w:val="0"/>
          <w:sz w:val="31"/>
          <w:szCs w:val="31"/>
          <w:u w:val="none"/>
          <w:lang w:val="en-US" w:eastAsia="zh-CN" w:bidi="ar"/>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676.12</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人员工资发放</w:t>
      </w:r>
      <w:r>
        <w:rPr>
          <w:rFonts w:hint="eastAsia" w:ascii="仿宋_GB2312" w:hAnsi="楷体" w:eastAsia="仿宋_GB2312"/>
          <w:color w:val="auto"/>
          <w:kern w:val="0"/>
          <w:sz w:val="32"/>
          <w:szCs w:val="32"/>
          <w:u w:val="none"/>
          <w:lang w:val="en-US" w:eastAsia="zh-CN"/>
        </w:rPr>
        <w:t>和</w:t>
      </w:r>
      <w:r>
        <w:rPr>
          <w:rFonts w:hint="eastAsia" w:ascii="仿宋_GB2312" w:hAnsi="楷体" w:eastAsia="仿宋_GB2312"/>
          <w:color w:val="auto"/>
          <w:kern w:val="0"/>
          <w:sz w:val="32"/>
          <w:szCs w:val="32"/>
          <w:u w:val="none"/>
          <w:lang w:eastAsia="zh-CN"/>
        </w:rPr>
        <w:t>日常</w:t>
      </w:r>
      <w:r>
        <w:rPr>
          <w:rFonts w:hint="eastAsia" w:ascii="仿宋_GB2312" w:hAnsi="楷体" w:eastAsia="仿宋_GB2312"/>
          <w:color w:val="auto"/>
          <w:kern w:val="0"/>
          <w:sz w:val="32"/>
          <w:szCs w:val="32"/>
          <w:u w:val="none"/>
          <w:lang w:val="en-US" w:eastAsia="zh-CN"/>
        </w:rPr>
        <w:t>工作</w:t>
      </w:r>
      <w:r>
        <w:rPr>
          <w:rFonts w:hint="eastAsia" w:ascii="仿宋_GB2312" w:hAnsi="楷体" w:eastAsia="仿宋_GB2312"/>
          <w:color w:val="auto"/>
          <w:kern w:val="0"/>
          <w:sz w:val="32"/>
          <w:szCs w:val="32"/>
          <w:u w:val="none"/>
          <w:lang w:eastAsia="zh-CN"/>
        </w:rPr>
        <w:t>运行费用</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334.21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97.75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人员调动及2022年工作项目增加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．社会保障和就业支出</w:t>
      </w:r>
      <w:r>
        <w:rPr>
          <w:rFonts w:hint="eastAsia" w:ascii="仿宋_GB2312" w:hAnsi="楷体" w:eastAsia="仿宋_GB2312"/>
          <w:kern w:val="0"/>
          <w:sz w:val="32"/>
          <w:szCs w:val="32"/>
          <w:u w:val="none"/>
          <w:lang w:val="en-US" w:eastAsia="zh-CN"/>
        </w:rPr>
        <w:t>28.41</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人员养老保险、工伤保险、失业保险支出</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增加2.43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增长9.35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卫生健康支出</w:t>
      </w:r>
      <w:r>
        <w:rPr>
          <w:rFonts w:hint="eastAsia" w:ascii="仿宋_GB2312" w:hAnsi="楷体" w:eastAsia="仿宋_GB2312"/>
          <w:kern w:val="0"/>
          <w:sz w:val="32"/>
          <w:szCs w:val="32"/>
          <w:u w:val="none"/>
          <w:lang w:val="en-US" w:eastAsia="zh-CN"/>
        </w:rPr>
        <w:t>10.42</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人员医疗保险支出</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增加1.07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增长11.44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住房保障支出</w:t>
      </w:r>
      <w:r>
        <w:rPr>
          <w:rFonts w:hint="eastAsia" w:ascii="仿宋_GB2312" w:hAnsi="楷体" w:eastAsia="仿宋_GB2312"/>
          <w:kern w:val="0"/>
          <w:sz w:val="32"/>
          <w:szCs w:val="32"/>
          <w:u w:val="none"/>
          <w:lang w:val="en-US" w:eastAsia="zh-CN"/>
        </w:rPr>
        <w:t>13.27</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人员住房公积金支出</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1.4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11.79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221.04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22.1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11.11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507.18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317.01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167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2022年工作项目增加</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221.04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30.35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507.18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69.65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339.11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87.15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2022年工作项目增加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728.22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339.11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87.15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2022年工作项目增加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221.04</w:t>
      </w:r>
      <w:r>
        <w:rPr>
          <w:rFonts w:hint="eastAsia" w:ascii="仿宋_GB2312" w:hAnsi="楷体" w:eastAsia="仿宋_GB2312"/>
          <w:kern w:val="0"/>
          <w:sz w:val="32"/>
          <w:szCs w:val="32"/>
          <w:u w:val="none"/>
        </w:rPr>
        <w:t>万元，其中：</w:t>
      </w:r>
    </w:p>
    <w:p>
      <w:pPr>
        <w:widowControl/>
        <w:spacing w:line="560" w:lineRule="exact"/>
        <w:ind w:firstLine="641"/>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205.32</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87.41万元、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47.44万元、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5.74万元、机关事业单位基本养老保险缴费23.20万元、职工基本医疗保险</w:t>
      </w:r>
      <w:r>
        <w:rPr>
          <w:rFonts w:hint="eastAsia" w:ascii="仿宋_GB2312" w:hAnsi="楷体" w:eastAsia="仿宋_GB2312"/>
          <w:kern w:val="0"/>
          <w:sz w:val="32"/>
          <w:szCs w:val="32"/>
          <w:u w:val="none"/>
        </w:rPr>
        <w:t>缴费</w:t>
      </w:r>
      <w:r>
        <w:rPr>
          <w:rFonts w:hint="eastAsia" w:ascii="仿宋_GB2312" w:hAnsi="楷体" w:eastAsia="仿宋_GB2312"/>
          <w:kern w:val="0"/>
          <w:sz w:val="32"/>
          <w:szCs w:val="32"/>
          <w:u w:val="none"/>
          <w:lang w:val="en-US" w:eastAsia="zh-CN"/>
        </w:rPr>
        <w:t>10.15万元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12.56万元、</w:t>
      </w:r>
      <w:r>
        <w:rPr>
          <w:rFonts w:hint="eastAsia" w:ascii="仿宋_GB2312" w:hAnsi="楷体" w:eastAsia="仿宋_GB2312"/>
          <w:kern w:val="0"/>
          <w:sz w:val="32"/>
          <w:szCs w:val="32"/>
          <w:u w:val="none"/>
        </w:rPr>
        <w:t>其他</w:t>
      </w:r>
      <w:r>
        <w:rPr>
          <w:rFonts w:hint="eastAsia" w:ascii="仿宋_GB2312" w:hAnsi="楷体" w:eastAsia="仿宋_GB2312"/>
          <w:kern w:val="0"/>
          <w:sz w:val="32"/>
          <w:szCs w:val="32"/>
          <w:u w:val="none"/>
          <w:lang w:val="en-US" w:eastAsia="zh-CN"/>
        </w:rPr>
        <w:t>社会保障缴费0.73万元</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val="en-US" w:eastAsia="zh-CN"/>
        </w:rPr>
        <w:t>4.76万元</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val="en-US" w:eastAsia="zh-CN"/>
        </w:rPr>
        <w:t>0.06万元</w:t>
      </w:r>
      <w:r>
        <w:rPr>
          <w:rFonts w:hint="eastAsia" w:ascii="仿宋_GB2312" w:hAnsi="楷体" w:eastAsia="仿宋_GB2312"/>
          <w:kern w:val="0"/>
          <w:sz w:val="32"/>
          <w:szCs w:val="32"/>
          <w:u w:val="none"/>
        </w:rPr>
        <w:t>、住房公积金</w:t>
      </w:r>
      <w:r>
        <w:rPr>
          <w:rFonts w:hint="eastAsia" w:ascii="仿宋_GB2312" w:hAnsi="楷体" w:eastAsia="仿宋_GB2312"/>
          <w:kern w:val="0"/>
          <w:sz w:val="32"/>
          <w:szCs w:val="32"/>
          <w:u w:val="none"/>
          <w:lang w:val="en-US" w:eastAsia="zh-CN"/>
        </w:rPr>
        <w:t>13.27万元</w:t>
      </w:r>
      <w:r>
        <w:rPr>
          <w:rFonts w:hint="eastAsia" w:ascii="仿宋_GB2312" w:hAnsi="楷体" w:eastAsia="仿宋_GB2312"/>
          <w:kern w:val="0"/>
          <w:sz w:val="32"/>
          <w:szCs w:val="32"/>
          <w:u w:val="none"/>
          <w:lang w:eastAsia="zh-CN"/>
        </w:rPr>
        <w:t>。</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15.72</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1.55万元</w:t>
      </w:r>
      <w:r>
        <w:rPr>
          <w:rFonts w:hint="eastAsia" w:ascii="仿宋_GB2312" w:hAnsi="楷体" w:eastAsia="仿宋_GB2312"/>
          <w:kern w:val="0"/>
          <w:sz w:val="32"/>
          <w:szCs w:val="32"/>
          <w:u w:val="none"/>
        </w:rPr>
        <w:t>、邮电费</w:t>
      </w:r>
      <w:r>
        <w:rPr>
          <w:rFonts w:hint="eastAsia" w:ascii="仿宋_GB2312" w:hAnsi="楷体" w:eastAsia="仿宋_GB2312"/>
          <w:kern w:val="0"/>
          <w:sz w:val="32"/>
          <w:szCs w:val="32"/>
          <w:u w:val="none"/>
          <w:lang w:val="en-US" w:eastAsia="zh-CN"/>
        </w:rPr>
        <w:t>0.7万元</w:t>
      </w:r>
      <w:r>
        <w:rPr>
          <w:rFonts w:hint="eastAsia" w:ascii="仿宋_GB2312" w:hAnsi="楷体" w:eastAsia="仿宋_GB2312"/>
          <w:kern w:val="0"/>
          <w:sz w:val="32"/>
          <w:szCs w:val="32"/>
          <w:u w:val="none"/>
        </w:rPr>
        <w:t>、差旅费</w:t>
      </w:r>
      <w:r>
        <w:rPr>
          <w:rFonts w:hint="eastAsia" w:ascii="仿宋_GB2312" w:hAnsi="楷体" w:eastAsia="仿宋_GB2312"/>
          <w:kern w:val="0"/>
          <w:sz w:val="32"/>
          <w:szCs w:val="32"/>
          <w:u w:val="none"/>
          <w:lang w:val="en-US" w:eastAsia="zh-CN"/>
        </w:rPr>
        <w:t>0.6万元</w:t>
      </w:r>
      <w:r>
        <w:rPr>
          <w:rFonts w:hint="eastAsia" w:ascii="仿宋_GB2312" w:hAnsi="楷体" w:eastAsia="仿宋_GB2312"/>
          <w:kern w:val="0"/>
          <w:sz w:val="32"/>
          <w:szCs w:val="32"/>
          <w:u w:val="none"/>
        </w:rPr>
        <w:t>、其他交通费用</w:t>
      </w:r>
      <w:r>
        <w:rPr>
          <w:rFonts w:hint="eastAsia" w:ascii="仿宋_GB2312" w:hAnsi="楷体" w:eastAsia="仿宋_GB2312"/>
          <w:kern w:val="0"/>
          <w:sz w:val="32"/>
          <w:szCs w:val="32"/>
          <w:u w:val="none"/>
          <w:lang w:val="en-US" w:eastAsia="zh-CN"/>
        </w:rPr>
        <w:t>12.87万元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color w:val="auto"/>
          <w:kern w:val="0"/>
          <w:sz w:val="32"/>
          <w:szCs w:val="32"/>
          <w:u w:val="none"/>
          <w:lang w:eastAsia="zh-CN"/>
        </w:rPr>
        <w:t>与上年预算数相同</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480" w:firstLineChars="150"/>
        <w:jc w:val="left"/>
        <w:rPr>
          <w:rFonts w:hint="eastAsia" w:ascii="仿宋_GB2312" w:hAnsi="黑体" w:eastAsia="仿宋_GB2312"/>
          <w:b w:val="0"/>
          <w:bCs/>
          <w:sz w:val="32"/>
          <w:szCs w:val="32"/>
          <w:u w:val="none"/>
          <w:lang w:val="en-US" w:eastAsia="zh-CN"/>
        </w:rPr>
      </w:pPr>
      <w:r>
        <w:rPr>
          <w:rFonts w:hint="eastAsia" w:ascii="仿宋_GB2312" w:hAnsi="黑体" w:eastAsia="仿宋_GB2312"/>
          <w:b w:val="0"/>
          <w:bCs/>
          <w:sz w:val="32"/>
          <w:szCs w:val="32"/>
          <w:u w:val="none"/>
        </w:rPr>
        <w:t>本部门</w:t>
      </w:r>
      <w:r>
        <w:rPr>
          <w:rFonts w:hint="eastAsia" w:ascii="仿宋_GB2312" w:hAnsi="黑体" w:eastAsia="仿宋_GB2312"/>
          <w:b w:val="0"/>
          <w:bCs/>
          <w:sz w:val="32"/>
          <w:szCs w:val="32"/>
          <w:u w:val="none"/>
          <w:lang w:val="en-US" w:eastAsia="zh-CN"/>
        </w:rPr>
        <w:t>2022年度</w:t>
      </w:r>
      <w:r>
        <w:rPr>
          <w:rFonts w:hint="eastAsia" w:ascii="仿宋_GB2312" w:hAnsi="黑体" w:eastAsia="仿宋_GB2312"/>
          <w:b w:val="0"/>
          <w:bCs/>
          <w:sz w:val="32"/>
          <w:szCs w:val="32"/>
          <w:u w:val="none"/>
        </w:rPr>
        <w:t>无“三公”经费</w:t>
      </w:r>
      <w:r>
        <w:rPr>
          <w:rFonts w:hint="eastAsia" w:ascii="仿宋_GB2312" w:hAnsi="黑体" w:eastAsia="仿宋_GB2312"/>
          <w:b w:val="0"/>
          <w:bCs/>
          <w:sz w:val="32"/>
          <w:szCs w:val="32"/>
          <w:u w:val="none"/>
          <w:lang w:eastAsia="zh-CN"/>
        </w:rPr>
        <w:t>，</w:t>
      </w:r>
      <w:r>
        <w:rPr>
          <w:rFonts w:hint="eastAsia" w:ascii="仿宋_GB2312" w:hAnsi="黑体" w:eastAsia="仿宋_GB2312"/>
          <w:b w:val="0"/>
          <w:bCs/>
          <w:sz w:val="32"/>
          <w:szCs w:val="32"/>
          <w:u w:val="none"/>
          <w:lang w:val="en-US" w:eastAsia="zh-CN"/>
        </w:rPr>
        <w:t>主要原因是本部门没有相关业务，没有公车。</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中共襄汾县委政法委员会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rPr>
        <w:t>上年预算</w:t>
      </w:r>
      <w:r>
        <w:rPr>
          <w:rFonts w:hint="eastAsia" w:ascii="仿宋_GB2312" w:hAnsi="楷体" w:eastAsia="仿宋_GB2312"/>
          <w:kern w:val="0"/>
          <w:sz w:val="32"/>
          <w:szCs w:val="32"/>
          <w:u w:val="none"/>
          <w:lang w:val="en-US" w:eastAsia="zh-CN"/>
        </w:rPr>
        <w:t>数相同,较上年没有变化</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rPr>
        <w:t>上年预算</w:t>
      </w:r>
      <w:r>
        <w:rPr>
          <w:rFonts w:hint="eastAsia" w:ascii="仿宋_GB2312" w:hAnsi="楷体" w:eastAsia="仿宋_GB2312"/>
          <w:kern w:val="0"/>
          <w:sz w:val="32"/>
          <w:szCs w:val="32"/>
          <w:u w:val="none"/>
          <w:lang w:val="en-US" w:eastAsia="zh-CN"/>
        </w:rPr>
        <w:t>数相同,较上年没有变化</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rPr>
        <w:t>上年预算</w:t>
      </w:r>
      <w:r>
        <w:rPr>
          <w:rFonts w:hint="eastAsia" w:ascii="仿宋_GB2312" w:hAnsi="楷体" w:eastAsia="仿宋_GB2312"/>
          <w:kern w:val="0"/>
          <w:sz w:val="32"/>
          <w:szCs w:val="32"/>
          <w:u w:val="none"/>
          <w:lang w:val="en-US" w:eastAsia="zh-CN"/>
        </w:rPr>
        <w:t>数相同,较上年没有变化</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rPr>
        <w:t>上年预算</w:t>
      </w:r>
      <w:r>
        <w:rPr>
          <w:rFonts w:hint="eastAsia" w:ascii="仿宋_GB2312" w:hAnsi="楷体" w:eastAsia="仿宋_GB2312"/>
          <w:kern w:val="0"/>
          <w:sz w:val="32"/>
          <w:szCs w:val="32"/>
          <w:u w:val="none"/>
          <w:lang w:val="en-US" w:eastAsia="zh-CN"/>
        </w:rPr>
        <w:t>数相同,较上年没有变化</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15.72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2.4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18.02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283.05</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257.05</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26</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12</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507.18</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w:char="00FE"/>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507.18</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widowControl/>
        <w:spacing w:line="560" w:lineRule="exact"/>
        <w:ind w:firstLine="636"/>
        <w:rPr>
          <w:rFonts w:hint="eastAsia" w:ascii="仿宋_GB2312" w:hAnsi="黑体" w:eastAsia="仿宋_GB2312"/>
          <w:b w:val="0"/>
          <w:bCs/>
          <w:spacing w:val="-16"/>
          <w:kern w:val="0"/>
          <w:sz w:val="32"/>
          <w:szCs w:val="32"/>
          <w:u w:val="none"/>
        </w:rPr>
      </w:pPr>
      <w:r>
        <w:rPr>
          <w:rFonts w:hint="eastAsia" w:ascii="仿宋_GB2312" w:hAnsi="黑体" w:eastAsia="仿宋_GB2312"/>
          <w:b w:val="0"/>
          <w:bCs/>
          <w:spacing w:val="-16"/>
          <w:kern w:val="0"/>
          <w:sz w:val="32"/>
          <w:szCs w:val="32"/>
          <w:u w:val="none"/>
        </w:rPr>
        <w:t>本部门未使用政府债券</w:t>
      </w:r>
    </w:p>
    <w:p>
      <w:pPr>
        <w:widowControl/>
        <w:numPr>
          <w:ilvl w:val="0"/>
          <w:numId w:val="2"/>
        </w:numPr>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其他</w:t>
      </w:r>
    </w:p>
    <w:p>
      <w:pPr>
        <w:widowControl/>
        <w:numPr>
          <w:ilvl w:val="0"/>
          <w:numId w:val="0"/>
        </w:numPr>
        <w:spacing w:line="560" w:lineRule="exact"/>
        <w:rPr>
          <w:rFonts w:hint="default"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 xml:space="preserve">    无</w:t>
      </w:r>
    </w:p>
    <w:p>
      <w:pPr>
        <w:widowControl/>
        <w:spacing w:line="560" w:lineRule="exact"/>
        <w:ind w:firstLine="636"/>
        <w:rPr>
          <w:rFonts w:hint="eastAsia" w:ascii="仿宋_GB2312" w:hAnsi="仿宋" w:eastAsia="仿宋_GB2312"/>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475B0439"/>
    <w:multiLevelType w:val="singleLevel"/>
    <w:tmpl w:val="475B04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6098E"/>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145854"/>
    <w:rsid w:val="0B7A268C"/>
    <w:rsid w:val="0C550EC0"/>
    <w:rsid w:val="0ECF36D9"/>
    <w:rsid w:val="0ED308A6"/>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0F6E9D"/>
    <w:rsid w:val="1DBF43F1"/>
    <w:rsid w:val="1E46404A"/>
    <w:rsid w:val="1E8B07BA"/>
    <w:rsid w:val="1F167368"/>
    <w:rsid w:val="1FD5315A"/>
    <w:rsid w:val="20154AC9"/>
    <w:rsid w:val="20953A56"/>
    <w:rsid w:val="20B465EE"/>
    <w:rsid w:val="22461B1D"/>
    <w:rsid w:val="229A0D7C"/>
    <w:rsid w:val="22A720F5"/>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1D5183"/>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27698E"/>
    <w:rsid w:val="579E20B3"/>
    <w:rsid w:val="57AA7CE4"/>
    <w:rsid w:val="58430EF3"/>
    <w:rsid w:val="58AA41B4"/>
    <w:rsid w:val="59AC6411"/>
    <w:rsid w:val="59B01057"/>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30633"/>
    <w:rsid w:val="67EB6718"/>
    <w:rsid w:val="68C7713A"/>
    <w:rsid w:val="68F242AC"/>
    <w:rsid w:val="6ABB4B62"/>
    <w:rsid w:val="6B73082E"/>
    <w:rsid w:val="6DD00F51"/>
    <w:rsid w:val="6E130B2A"/>
    <w:rsid w:val="6E5205D8"/>
    <w:rsid w:val="6EDA2E31"/>
    <w:rsid w:val="6FC77BC7"/>
    <w:rsid w:val="70C61C0B"/>
    <w:rsid w:val="70E334F7"/>
    <w:rsid w:val="71A85E7B"/>
    <w:rsid w:val="71D47169"/>
    <w:rsid w:val="720A3FB4"/>
    <w:rsid w:val="72C23FBE"/>
    <w:rsid w:val="72F81C9E"/>
    <w:rsid w:val="736E3BAB"/>
    <w:rsid w:val="75A56425"/>
    <w:rsid w:val="75F14C63"/>
    <w:rsid w:val="761362F3"/>
    <w:rsid w:val="77481BE2"/>
    <w:rsid w:val="77915F20"/>
    <w:rsid w:val="77EF4B27"/>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3A258D"/>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 Spacing_ad81b47b-6779-4c76-b471-79375858c8cb"/>
    <w:qFormat/>
    <w:uiPriority w:val="0"/>
    <w:pPr>
      <w:widowControl w:val="0"/>
      <w:ind w:firstLine="200" w:firstLineChars="200"/>
      <w:jc w:val="both"/>
    </w:pPr>
    <w:rPr>
      <w:rFonts w:ascii="Cambria" w:hAnsi="Cambria"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123</cp:lastModifiedBy>
  <cp:lastPrinted>2020-05-19T03:47:00Z</cp:lastPrinted>
  <dcterms:modified xsi:type="dcterms:W3CDTF">2022-03-07T02:41:25Z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C7BB6A058981483BB478D2CCB1CEC1A7</vt:lpwstr>
  </property>
</Properties>
</file>