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襄汾县医疗保障</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960" w:firstLineChars="300"/>
        <w:rPr>
          <w:rFonts w:hint="eastAsia" w:ascii="仿宋" w:hAnsi="仿宋" w:eastAsia="仿宋" w:cs="仿宋"/>
          <w:color w:val="646464"/>
          <w:sz w:val="32"/>
          <w:szCs w:val="32"/>
        </w:rPr>
      </w:pPr>
      <w:r>
        <w:rPr>
          <w:rFonts w:hint="eastAsia" w:ascii="仿宋" w:hAnsi="仿宋" w:eastAsia="仿宋" w:cs="仿宋"/>
          <w:color w:val="646464"/>
          <w:sz w:val="32"/>
          <w:szCs w:val="32"/>
        </w:rPr>
        <w:t>贯彻落实党中央、省委、市委和县委关于医疗保障工作的方针政策和决策部署，在履行职责过程中坚持和加强党对医疗保障工作的集中统一领导。主要职责是：</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（一）贯彻中央省市医疗保障方面的法律法规和政策规定，组织实施全县医疗保险、生育保险、医疗救助等医疗保障方面的政策、计划和标准。</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（二）贯彻执行省、市医疗保障基金监督管理办法并组织实施，建立健全医疗保障安全防控机制，推进医疗保障基金支付方式改革。</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（三）</w:t>
      </w:r>
      <w:r>
        <w:rPr>
          <w:rFonts w:hint="eastAsia" w:ascii="仿宋" w:hAnsi="仿宋" w:eastAsia="仿宋" w:cs="仿宋"/>
          <w:color w:val="646464"/>
          <w:sz w:val="32"/>
          <w:szCs w:val="32"/>
          <w:lang w:eastAsia="zh-CN"/>
        </w:rPr>
        <w:t>落实</w:t>
      </w:r>
      <w:r>
        <w:rPr>
          <w:rFonts w:hint="eastAsia" w:ascii="仿宋" w:hAnsi="仿宋" w:eastAsia="仿宋" w:cs="仿宋"/>
          <w:color w:val="646464"/>
          <w:sz w:val="32"/>
          <w:szCs w:val="32"/>
        </w:rPr>
        <w:t>医疗保障筹资和待遇政策，贯彻执行全省长期护理保险制度改革。</w:t>
      </w:r>
    </w:p>
    <w:p>
      <w:pPr>
        <w:rPr>
          <w:rFonts w:hint="eastAsia" w:ascii="仿宋" w:hAnsi="仿宋" w:eastAsia="仿宋" w:cs="仿宋"/>
          <w:color w:val="646464"/>
          <w:sz w:val="32"/>
          <w:szCs w:val="32"/>
          <w:lang w:eastAsia="zh-CN"/>
        </w:rPr>
      </w:pPr>
      <w:r>
        <w:rPr>
          <w:rFonts w:hint="eastAsia" w:ascii="仿宋" w:hAnsi="仿宋" w:eastAsia="仿宋" w:cs="仿宋"/>
          <w:color w:val="646464"/>
          <w:sz w:val="32"/>
          <w:szCs w:val="32"/>
        </w:rPr>
        <w:t xml:space="preserve">   （四）</w:t>
      </w:r>
      <w:r>
        <w:rPr>
          <w:rFonts w:hint="eastAsia" w:ascii="仿宋" w:hAnsi="仿宋" w:eastAsia="仿宋" w:cs="仿宋"/>
          <w:color w:val="646464"/>
          <w:sz w:val="32"/>
          <w:szCs w:val="32"/>
          <w:lang w:eastAsia="zh-CN"/>
        </w:rPr>
        <w:t>落实</w:t>
      </w:r>
      <w:r>
        <w:rPr>
          <w:rFonts w:hint="eastAsia" w:ascii="仿宋" w:hAnsi="仿宋" w:eastAsia="仿宋" w:cs="仿宋"/>
          <w:color w:val="646464"/>
          <w:sz w:val="32"/>
          <w:szCs w:val="32"/>
        </w:rPr>
        <w:t>统一的药品、医用耗材、医疗服务项目、医疗服务设施等医保目录和支付标准并组织实施</w:t>
      </w:r>
      <w:r>
        <w:rPr>
          <w:rFonts w:hint="eastAsia" w:ascii="仿宋" w:hAnsi="仿宋" w:eastAsia="仿宋" w:cs="仿宋"/>
          <w:color w:val="646464"/>
          <w:sz w:val="32"/>
          <w:szCs w:val="32"/>
          <w:lang w:eastAsia="zh-CN"/>
        </w:rPr>
        <w:t>。</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五）贯彻落实中省市药品、医用耗材价格政策，严格执行医疗服务项目和医疗服务设施收费等政策，建立医保支付医药服务价格合理确定和动态调整理论依据机制，推动建立市场主导的社会医药服务价格形成机制，建立价格信息监测和信息发布制度。</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（六）制定全县药品、医用耗材、商业医疗保险服务的招标采购、配送及结算管理政策并监督实施，指导协调招标采购平台建设。</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（七）制定全县医保定点医药机构协议和支付管理办法并组织实施，建立健全医疗保障信用评价体系和信息披露制度，监督管理纳入医保范围内的医疗服务行为和医疗费用，依法查处医疗保障领域违法违规行为。</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（八）负责全县医疗保险经办管理、公共服务体系和信息化建设、异地就医管理和费用结算政策；做好医疗保障关系转移接续服务；开展医疗保障领域合作交流。</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（九）贯彻落实中省市医疗救助政策，组织开展全县医疗救助工作，承担医疗救助业务和资金监管。</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（十）贯彻落实城乡居民大病保险改革方案和离休人员医疗保障待遇相关政策。</w:t>
      </w:r>
    </w:p>
    <w:p>
      <w:pPr>
        <w:rPr>
          <w:rFonts w:hint="eastAsia" w:ascii="仿宋" w:hAnsi="仿宋" w:eastAsia="仿宋" w:cs="仿宋"/>
          <w:color w:val="646464"/>
          <w:sz w:val="32"/>
          <w:szCs w:val="32"/>
        </w:rPr>
      </w:pPr>
      <w:r>
        <w:rPr>
          <w:rFonts w:hint="eastAsia" w:ascii="仿宋" w:hAnsi="仿宋" w:eastAsia="仿宋" w:cs="仿宋"/>
          <w:color w:val="646464"/>
          <w:sz w:val="32"/>
          <w:szCs w:val="32"/>
        </w:rPr>
        <w:t xml:space="preserve">   （十一）承担本行业领域的大数据采集推送、安全管理等工作。</w:t>
      </w:r>
    </w:p>
    <w:p>
      <w:pPr>
        <w:widowControl/>
        <w:spacing w:line="560" w:lineRule="exact"/>
        <w:ind w:firstLine="640"/>
        <w:rPr>
          <w:rFonts w:hint="eastAsia" w:ascii="仿宋" w:hAnsi="仿宋" w:eastAsia="仿宋" w:cs="仿宋"/>
          <w:kern w:val="0"/>
          <w:sz w:val="32"/>
          <w:szCs w:val="32"/>
          <w:lang w:val="en-US" w:eastAsia="zh-CN"/>
        </w:rPr>
      </w:pPr>
      <w:r>
        <w:rPr>
          <w:rFonts w:hint="eastAsia" w:ascii="仿宋" w:hAnsi="仿宋" w:eastAsia="仿宋" w:cs="仿宋"/>
          <w:color w:val="646464"/>
          <w:sz w:val="32"/>
          <w:szCs w:val="32"/>
        </w:rPr>
        <w:t xml:space="preserve">（十三）监督落实建档立卡贫困人口基本医保、大病保险和医疗救助倾斜优惠政策。按照县委县政府的统一安排，做好结对帮扶工作。 </w:t>
      </w:r>
    </w:p>
    <w:p>
      <w:pPr>
        <w:widowControl/>
        <w:numPr>
          <w:ilvl w:val="0"/>
          <w:numId w:val="1"/>
        </w:numPr>
        <w:spacing w:line="56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部门机构设置及预算单位构成情况</w:t>
      </w:r>
    </w:p>
    <w:p>
      <w:pPr>
        <w:rPr>
          <w:rFonts w:hint="eastAsia" w:ascii="仿宋" w:hAnsi="仿宋" w:eastAsia="仿宋" w:cs="仿宋"/>
          <w:kern w:val="0"/>
          <w:sz w:val="32"/>
          <w:szCs w:val="32"/>
        </w:rPr>
      </w:pPr>
      <w:r>
        <w:rPr>
          <w:rFonts w:hint="eastAsia" w:ascii="仿宋" w:hAnsi="仿宋" w:eastAsia="仿宋" w:cs="仿宋"/>
          <w:kern w:val="0"/>
          <w:sz w:val="32"/>
          <w:szCs w:val="32"/>
        </w:rPr>
        <w:t xml:space="preserve"> 1．根据部门职责分工，本部门内设机构包括办公室、基金监管股、医药服务管理股。本部门下属单位包括：医疗保险服务中心。</w:t>
      </w:r>
    </w:p>
    <w:p>
      <w:pPr>
        <w:rPr>
          <w:rFonts w:hint="eastAsia" w:ascii="仿宋" w:hAnsi="仿宋" w:eastAsia="仿宋" w:cs="仿宋"/>
          <w:kern w:val="0"/>
          <w:sz w:val="32"/>
          <w:szCs w:val="32"/>
        </w:rPr>
      </w:pPr>
      <w:r>
        <w:rPr>
          <w:rFonts w:hint="eastAsia" w:ascii="仿宋" w:hAnsi="仿宋" w:eastAsia="仿宋" w:cs="仿宋"/>
          <w:kern w:val="0"/>
          <w:sz w:val="32"/>
          <w:szCs w:val="32"/>
        </w:rPr>
        <w:t xml:space="preserve">    2．从预算单位构成看，纳入本部门202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年部门汇总预算编制范围的预算单位共计1家，具体包括：襄汾县医疗保障局本级、襄汾县医疗保险服务中心。</w:t>
      </w:r>
    </w:p>
    <w:p>
      <w:pPr>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 xml:space="preserve"> 年部门主要工作任务及目标</w:t>
      </w:r>
    </w:p>
    <w:p>
      <w:pPr>
        <w:keepNext w:val="0"/>
        <w:keepLines w:val="0"/>
        <w:pageBreakBefore w:val="0"/>
        <w:widowControl w:val="0"/>
        <w:numPr>
          <w:ilvl w:val="0"/>
          <w:numId w:val="2"/>
        </w:numPr>
        <w:pBdr>
          <w:bottom w:val="single" w:color="FFFFFF" w:sz="4" w:space="11"/>
        </w:pBdr>
        <w:kinsoku/>
        <w:wordWrap/>
        <w:overflowPunct w:val="0"/>
        <w:topLinePunct w:val="0"/>
        <w:autoSpaceDE/>
        <w:autoSpaceDN/>
        <w:bidi w:val="0"/>
        <w:adjustRightInd/>
        <w:snapToGrid/>
        <w:spacing w:line="600" w:lineRule="exact"/>
        <w:ind w:left="-643" w:leftChars="0" w:firstLine="643" w:firstLineChars="0"/>
        <w:textAlignment w:val="auto"/>
        <w:outlineLvl w:val="9"/>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强化工作机制，落实</w:t>
      </w:r>
      <w:r>
        <w:rPr>
          <w:rFonts w:hint="eastAsia" w:ascii="仿宋" w:hAnsi="仿宋" w:eastAsia="仿宋" w:cs="仿宋"/>
          <w:b/>
          <w:bCs/>
          <w:color w:val="auto"/>
          <w:kern w:val="0"/>
          <w:sz w:val="32"/>
          <w:szCs w:val="32"/>
          <w:lang w:eastAsia="zh-CN" w:bidi="ar"/>
        </w:rPr>
        <w:t>医疗保障待遇</w:t>
      </w:r>
      <w:r>
        <w:rPr>
          <w:rFonts w:hint="eastAsia" w:ascii="仿宋" w:hAnsi="仿宋" w:eastAsia="仿宋" w:cs="仿宋"/>
          <w:b/>
          <w:bCs/>
          <w:color w:val="auto"/>
          <w:kern w:val="0"/>
          <w:sz w:val="32"/>
          <w:szCs w:val="32"/>
          <w:lang w:val="en-US" w:eastAsia="zh-CN" w:bidi="ar"/>
        </w:rPr>
        <w:t>政策</w:t>
      </w:r>
    </w:p>
    <w:p>
      <w:pPr>
        <w:keepNext w:val="0"/>
        <w:keepLines w:val="0"/>
        <w:pageBreakBefore w:val="0"/>
        <w:widowControl w:val="0"/>
        <w:numPr>
          <w:ilvl w:val="0"/>
          <w:numId w:val="0"/>
        </w:numPr>
        <w:pBdr>
          <w:bottom w:val="single" w:color="FFFFFF" w:sz="4" w:space="11"/>
        </w:pBdr>
        <w:kinsoku/>
        <w:wordWrap/>
        <w:overflowPunct w:val="0"/>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val="0"/>
          <w:bCs w:val="0"/>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一是</w:t>
      </w:r>
      <w:r>
        <w:rPr>
          <w:rFonts w:hint="eastAsia" w:ascii="仿宋" w:hAnsi="仿宋" w:eastAsia="仿宋" w:cs="仿宋"/>
          <w:b w:val="0"/>
          <w:bCs w:val="0"/>
          <w:color w:val="auto"/>
          <w:kern w:val="2"/>
          <w:sz w:val="32"/>
          <w:szCs w:val="32"/>
          <w:u w:val="none"/>
          <w:lang w:val="en-US" w:eastAsia="zh-CN" w:bidi="ar-SA"/>
        </w:rPr>
        <w:t>落实全民参保计划，稳步提高居民医保筹资标准，确保城乡居民应参尽参，严格落实灵活就业人员参保取消户籍限制政策，促进劳动力合理有续流动，参保率达95%以上。</w:t>
      </w:r>
      <w:r>
        <w:rPr>
          <w:rFonts w:hint="eastAsia" w:ascii="仿宋" w:hAnsi="仿宋" w:eastAsia="仿宋" w:cs="仿宋"/>
          <w:b/>
          <w:bCs/>
          <w:color w:val="auto"/>
          <w:kern w:val="2"/>
          <w:sz w:val="32"/>
          <w:szCs w:val="32"/>
          <w:u w:val="none"/>
          <w:lang w:val="en-US" w:eastAsia="zh-CN" w:bidi="ar-SA"/>
        </w:rPr>
        <w:t>二是</w:t>
      </w:r>
      <w:r>
        <w:rPr>
          <w:rFonts w:hint="eastAsia" w:ascii="仿宋" w:hAnsi="仿宋" w:eastAsia="仿宋" w:cs="仿宋"/>
          <w:b w:val="0"/>
          <w:bCs w:val="0"/>
          <w:color w:val="auto"/>
          <w:kern w:val="2"/>
          <w:sz w:val="32"/>
          <w:szCs w:val="32"/>
          <w:u w:val="none"/>
          <w:lang w:val="en-US" w:eastAsia="zh-CN" w:bidi="ar-SA"/>
        </w:rPr>
        <w:t>严格落实医疗保障待遇清单制度。</w:t>
      </w:r>
      <w:r>
        <w:rPr>
          <w:rFonts w:hint="eastAsia" w:ascii="仿宋" w:hAnsi="仿宋" w:eastAsia="仿宋" w:cs="仿宋"/>
          <w:b/>
          <w:bCs/>
          <w:color w:val="auto"/>
          <w:kern w:val="2"/>
          <w:sz w:val="32"/>
          <w:szCs w:val="32"/>
          <w:u w:val="none"/>
          <w:lang w:val="en-US" w:eastAsia="zh-CN" w:bidi="ar-SA"/>
        </w:rPr>
        <w:t>三是</w:t>
      </w:r>
      <w:r>
        <w:rPr>
          <w:rFonts w:hint="eastAsia" w:ascii="仿宋" w:hAnsi="仿宋" w:eastAsia="仿宋" w:cs="仿宋"/>
          <w:b w:val="0"/>
          <w:bCs w:val="0"/>
          <w:color w:val="auto"/>
          <w:kern w:val="2"/>
          <w:sz w:val="32"/>
          <w:szCs w:val="32"/>
          <w:u w:val="none"/>
          <w:lang w:val="en-US" w:eastAsia="zh-CN" w:bidi="ar-SA"/>
        </w:rPr>
        <w:t>落实职工医保门诊共济保障机制。根据上级要求落实统一的职工医保门诊慢特病病种范围及准入（退出）标准和职工医保个人账户家庭共济办法。</w:t>
      </w:r>
      <w:r>
        <w:rPr>
          <w:rFonts w:hint="eastAsia" w:ascii="仿宋" w:hAnsi="仿宋" w:eastAsia="仿宋" w:cs="仿宋"/>
          <w:b/>
          <w:bCs/>
          <w:color w:val="auto"/>
          <w:kern w:val="2"/>
          <w:sz w:val="32"/>
          <w:szCs w:val="32"/>
          <w:u w:val="none"/>
          <w:lang w:val="en-US" w:eastAsia="zh-CN" w:bidi="ar-SA"/>
        </w:rPr>
        <w:t>四是</w:t>
      </w:r>
      <w:r>
        <w:rPr>
          <w:rFonts w:hint="eastAsia" w:ascii="仿宋" w:hAnsi="仿宋" w:eastAsia="仿宋" w:cs="仿宋"/>
          <w:b w:val="0"/>
          <w:bCs w:val="0"/>
          <w:color w:val="auto"/>
          <w:kern w:val="2"/>
          <w:sz w:val="32"/>
          <w:szCs w:val="32"/>
          <w:u w:val="none"/>
          <w:lang w:val="en-US" w:eastAsia="zh-CN" w:bidi="ar-SA"/>
        </w:rPr>
        <w:t>巩固拓展医疗保障脱贫攻坚成果有效衔接乡村振兴战略，落实防范化解因病致贫返贫机制，将稳定脱贫人口转入常态化保障。</w:t>
      </w:r>
      <w:r>
        <w:rPr>
          <w:rFonts w:hint="eastAsia" w:ascii="仿宋" w:hAnsi="仿宋" w:eastAsia="仿宋" w:cs="仿宋"/>
          <w:b/>
          <w:bCs/>
          <w:color w:val="auto"/>
          <w:kern w:val="2"/>
          <w:sz w:val="32"/>
          <w:szCs w:val="32"/>
          <w:u w:val="none"/>
          <w:lang w:val="en-US" w:eastAsia="zh-CN" w:bidi="ar-SA"/>
        </w:rPr>
        <w:t>五是</w:t>
      </w:r>
      <w:r>
        <w:rPr>
          <w:rFonts w:hint="eastAsia" w:ascii="仿宋" w:hAnsi="仿宋" w:eastAsia="仿宋" w:cs="仿宋"/>
          <w:b w:val="0"/>
          <w:bCs w:val="0"/>
          <w:color w:val="auto"/>
          <w:kern w:val="2"/>
          <w:sz w:val="32"/>
          <w:szCs w:val="32"/>
          <w:u w:val="none"/>
          <w:lang w:val="en-US" w:eastAsia="zh-CN" w:bidi="ar-SA"/>
        </w:rPr>
        <w:t>全面落实生育保险政策，积极支持三孩政策落地；</w:t>
      </w:r>
      <w:r>
        <w:rPr>
          <w:rFonts w:hint="eastAsia" w:ascii="仿宋" w:hAnsi="仿宋" w:eastAsia="仿宋" w:cs="仿宋"/>
          <w:b/>
          <w:bCs/>
          <w:color w:val="auto"/>
          <w:kern w:val="2"/>
          <w:sz w:val="32"/>
          <w:szCs w:val="32"/>
          <w:u w:val="none"/>
          <w:lang w:val="en-US" w:eastAsia="zh-CN" w:bidi="ar-SA"/>
        </w:rPr>
        <w:t>六是</w:t>
      </w:r>
      <w:r>
        <w:rPr>
          <w:rFonts w:hint="eastAsia" w:ascii="仿宋" w:hAnsi="仿宋" w:eastAsia="仿宋" w:cs="仿宋"/>
          <w:b w:val="0"/>
          <w:bCs w:val="0"/>
          <w:color w:val="auto"/>
          <w:kern w:val="2"/>
          <w:sz w:val="32"/>
          <w:szCs w:val="32"/>
          <w:u w:val="none"/>
          <w:lang w:val="en-US" w:eastAsia="zh-CN" w:bidi="ar-SA"/>
        </w:rPr>
        <w:t>持续做好高血压、糖尿病门诊用药等医疗保障待遇落地工作；</w:t>
      </w:r>
      <w:r>
        <w:rPr>
          <w:rFonts w:hint="eastAsia" w:ascii="仿宋" w:hAnsi="仿宋" w:eastAsia="仿宋" w:cs="仿宋"/>
          <w:b/>
          <w:bCs/>
          <w:color w:val="auto"/>
          <w:kern w:val="2"/>
          <w:sz w:val="32"/>
          <w:szCs w:val="32"/>
          <w:u w:val="none"/>
          <w:lang w:val="en-US" w:eastAsia="zh-CN" w:bidi="ar-SA"/>
        </w:rPr>
        <w:t>七是</w:t>
      </w:r>
      <w:r>
        <w:rPr>
          <w:rFonts w:hint="eastAsia" w:ascii="仿宋" w:hAnsi="仿宋" w:eastAsia="仿宋" w:cs="仿宋"/>
          <w:b w:val="0"/>
          <w:bCs w:val="0"/>
          <w:color w:val="auto"/>
          <w:kern w:val="2"/>
          <w:sz w:val="32"/>
          <w:szCs w:val="32"/>
          <w:u w:val="none"/>
          <w:lang w:val="en-US" w:eastAsia="zh-CN" w:bidi="ar-SA"/>
        </w:rPr>
        <w:t>稳步推进长期护理保险试点。</w:t>
      </w:r>
    </w:p>
    <w:p>
      <w:pPr>
        <w:keepNext w:val="0"/>
        <w:keepLines w:val="0"/>
        <w:pageBreakBefore w:val="0"/>
        <w:widowControl w:val="0"/>
        <w:numPr>
          <w:ilvl w:val="0"/>
          <w:numId w:val="2"/>
        </w:numPr>
        <w:pBdr>
          <w:bottom w:val="single" w:color="FFFFFF" w:sz="4" w:space="11"/>
        </w:pBdr>
        <w:kinsoku/>
        <w:wordWrap/>
        <w:overflowPunct w:val="0"/>
        <w:topLinePunct w:val="0"/>
        <w:autoSpaceDE/>
        <w:autoSpaceDN/>
        <w:bidi w:val="0"/>
        <w:adjustRightInd/>
        <w:snapToGrid/>
        <w:spacing w:line="600" w:lineRule="exact"/>
        <w:ind w:left="-643" w:leftChars="0" w:firstLine="643" w:firstLineChars="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深化支付方式改革，加强医药服务管理</w:t>
      </w:r>
    </w:p>
    <w:p>
      <w:pPr>
        <w:keepNext w:val="0"/>
        <w:keepLines w:val="0"/>
        <w:pageBreakBefore w:val="0"/>
        <w:widowControl w:val="0"/>
        <w:numPr>
          <w:ilvl w:val="0"/>
          <w:numId w:val="0"/>
        </w:numPr>
        <w:pBdr>
          <w:bottom w:val="single" w:color="FFFFFF" w:sz="4" w:space="11"/>
        </w:pBdr>
        <w:kinsoku/>
        <w:wordWrap/>
        <w:overflowPunct w:val="0"/>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color w:val="auto"/>
          <w:kern w:val="2"/>
          <w:sz w:val="32"/>
          <w:szCs w:val="32"/>
          <w:lang w:val="en" w:eastAsia="zh-CN" w:bidi="ar-SA"/>
        </w:rPr>
      </w:pPr>
      <w:r>
        <w:rPr>
          <w:rFonts w:hint="eastAsia" w:ascii="仿宋" w:hAnsi="仿宋" w:eastAsia="仿宋" w:cs="仿宋"/>
          <w:b/>
          <w:bCs/>
          <w:color w:val="auto"/>
          <w:kern w:val="2"/>
          <w:sz w:val="32"/>
          <w:szCs w:val="32"/>
          <w:u w:val="none"/>
          <w:lang w:val="en-US" w:eastAsia="zh-CN" w:bidi="ar-SA"/>
        </w:rPr>
        <w:t>一是</w:t>
      </w:r>
      <w:r>
        <w:rPr>
          <w:rFonts w:hint="eastAsia" w:ascii="仿宋" w:hAnsi="仿宋" w:eastAsia="仿宋" w:cs="仿宋"/>
          <w:b w:val="0"/>
          <w:bCs w:val="0"/>
          <w:color w:val="auto"/>
          <w:kern w:val="2"/>
          <w:sz w:val="32"/>
          <w:szCs w:val="32"/>
          <w:u w:val="none"/>
          <w:lang w:val="en-US" w:eastAsia="zh-CN" w:bidi="ar-SA"/>
        </w:rPr>
        <w:t>加强定点医药机构管理。认真落实两定机构管理办法，规范统一协议内容，完善考核评价细则，强化 DRG 等重点工作监测评估。</w:t>
      </w:r>
      <w:r>
        <w:rPr>
          <w:rFonts w:hint="eastAsia" w:ascii="仿宋" w:hAnsi="仿宋" w:eastAsia="仿宋" w:cs="仿宋"/>
          <w:b/>
          <w:bCs/>
          <w:color w:val="auto"/>
          <w:kern w:val="2"/>
          <w:sz w:val="32"/>
          <w:szCs w:val="32"/>
          <w:u w:val="none"/>
          <w:lang w:val="en-US" w:eastAsia="zh-CN" w:bidi="ar-SA"/>
        </w:rPr>
        <w:t>二是</w:t>
      </w:r>
      <w:r>
        <w:rPr>
          <w:rFonts w:hint="eastAsia" w:ascii="仿宋" w:hAnsi="仿宋" w:eastAsia="仿宋" w:cs="仿宋"/>
          <w:b w:val="0"/>
          <w:bCs w:val="0"/>
          <w:color w:val="auto"/>
          <w:kern w:val="2"/>
          <w:sz w:val="32"/>
          <w:szCs w:val="32"/>
          <w:u w:val="none"/>
          <w:lang w:val="en-US" w:eastAsia="zh-CN" w:bidi="ar-SA"/>
        </w:rPr>
        <w:t>深化医保支付方式改革。统筹推进DRG工作；探索开展门诊慢特病、门诊统筹支付方式改革，开展中医优势病种按病种付费管理。</w:t>
      </w:r>
      <w:r>
        <w:rPr>
          <w:rFonts w:hint="eastAsia" w:ascii="仿宋" w:hAnsi="仿宋" w:eastAsia="仿宋" w:cs="仿宋"/>
          <w:b/>
          <w:bCs/>
          <w:color w:val="auto"/>
          <w:kern w:val="2"/>
          <w:sz w:val="32"/>
          <w:szCs w:val="32"/>
          <w:u w:val="none"/>
          <w:lang w:val="en-US" w:eastAsia="zh-CN" w:bidi="ar-SA"/>
        </w:rPr>
        <w:t>三是</w:t>
      </w:r>
      <w:r>
        <w:rPr>
          <w:rFonts w:hint="eastAsia" w:ascii="仿宋" w:hAnsi="仿宋" w:eastAsia="仿宋" w:cs="仿宋"/>
          <w:b w:val="0"/>
          <w:bCs w:val="0"/>
          <w:color w:val="auto"/>
          <w:kern w:val="2"/>
          <w:sz w:val="32"/>
          <w:szCs w:val="32"/>
          <w:u w:val="none"/>
          <w:lang w:val="en-US" w:eastAsia="zh-CN" w:bidi="ar-SA"/>
        </w:rPr>
        <w:t>全面执行国家新版医保药品目录，进一步落实药品、耗材目录编码应用；落实医用耗材医保支付准入规则；3月底前完成新增门诊特药品种和调整待遇标准工作，不断完善“双通道”管理。</w:t>
      </w:r>
      <w:r>
        <w:rPr>
          <w:rFonts w:hint="eastAsia" w:ascii="仿宋" w:hAnsi="仿宋" w:eastAsia="仿宋" w:cs="仿宋"/>
          <w:b/>
          <w:bCs/>
          <w:color w:val="auto"/>
          <w:kern w:val="2"/>
          <w:sz w:val="32"/>
          <w:szCs w:val="32"/>
          <w:u w:val="none"/>
          <w:lang w:val="en-US" w:eastAsia="zh-CN" w:bidi="ar-SA"/>
        </w:rPr>
        <w:t>四是</w:t>
      </w:r>
      <w:r>
        <w:rPr>
          <w:rFonts w:hint="eastAsia" w:ascii="仿宋" w:hAnsi="仿宋" w:eastAsia="仿宋" w:cs="仿宋"/>
          <w:b w:val="0"/>
          <w:bCs w:val="0"/>
          <w:color w:val="auto"/>
          <w:kern w:val="2"/>
          <w:sz w:val="32"/>
          <w:szCs w:val="32"/>
          <w:u w:val="none"/>
          <w:lang w:val="en-US" w:eastAsia="zh-CN" w:bidi="ar-SA"/>
        </w:rPr>
        <w:t>落实医保药品、耗材支付标准制度，做好国家支付标准试点药品等目录内重点药品使用情况监测评估工作。</w:t>
      </w:r>
      <w:r>
        <w:rPr>
          <w:rFonts w:hint="eastAsia" w:ascii="仿宋" w:hAnsi="仿宋" w:eastAsia="仿宋" w:cs="仿宋"/>
          <w:b/>
          <w:bCs/>
          <w:color w:val="auto"/>
          <w:kern w:val="2"/>
          <w:sz w:val="32"/>
          <w:szCs w:val="32"/>
          <w:u w:val="none"/>
          <w:lang w:val="en-US" w:eastAsia="zh-CN" w:bidi="ar-SA"/>
        </w:rPr>
        <w:t>五是</w:t>
      </w:r>
      <w:r>
        <w:rPr>
          <w:rFonts w:hint="eastAsia" w:ascii="仿宋" w:hAnsi="仿宋" w:eastAsia="仿宋" w:cs="仿宋"/>
          <w:b w:val="0"/>
          <w:bCs w:val="0"/>
          <w:color w:val="auto"/>
          <w:kern w:val="2"/>
          <w:sz w:val="32"/>
          <w:szCs w:val="32"/>
          <w:u w:val="none"/>
          <w:lang w:val="en-US" w:eastAsia="zh-CN" w:bidi="ar-SA"/>
        </w:rPr>
        <w:t>探索“互联网＋”医保支付等工作，落实门诊特药、门诊慢特病等处方流转和网上配送服务工作。</w:t>
      </w:r>
      <w:r>
        <w:rPr>
          <w:rFonts w:hint="eastAsia" w:ascii="仿宋" w:hAnsi="仿宋" w:eastAsia="仿宋" w:cs="仿宋"/>
          <w:b/>
          <w:bCs/>
          <w:color w:val="auto"/>
          <w:kern w:val="2"/>
          <w:sz w:val="32"/>
          <w:szCs w:val="32"/>
          <w:u w:val="none"/>
          <w:lang w:val="en-US" w:eastAsia="zh-CN" w:bidi="ar-SA"/>
        </w:rPr>
        <w:t>六</w:t>
      </w:r>
      <w:r>
        <w:rPr>
          <w:rFonts w:hint="eastAsia" w:ascii="仿宋" w:hAnsi="仿宋" w:eastAsia="仿宋" w:cs="仿宋"/>
          <w:b/>
          <w:bCs/>
          <w:color w:val="auto"/>
          <w:kern w:val="2"/>
          <w:sz w:val="32"/>
          <w:szCs w:val="32"/>
          <w:u w:val="none"/>
          <w:lang w:val="en" w:eastAsia="zh-CN" w:bidi="ar-SA"/>
        </w:rPr>
        <w:t>是</w:t>
      </w:r>
      <w:r>
        <w:rPr>
          <w:rFonts w:hint="eastAsia" w:ascii="仿宋" w:hAnsi="仿宋" w:eastAsia="仿宋" w:cs="仿宋"/>
          <w:color w:val="auto"/>
          <w:kern w:val="2"/>
          <w:sz w:val="32"/>
          <w:szCs w:val="32"/>
          <w:lang w:val="en" w:eastAsia="zh-CN" w:bidi="ar-SA"/>
        </w:rPr>
        <w:t>做好集采药品耗材落地管理，督促医疗机构完成集采任务，让群众享受到改革红利。</w:t>
      </w:r>
    </w:p>
    <w:p>
      <w:pPr>
        <w:keepNext w:val="0"/>
        <w:keepLines w:val="0"/>
        <w:pageBreakBefore w:val="0"/>
        <w:widowControl w:val="0"/>
        <w:numPr>
          <w:ilvl w:val="0"/>
          <w:numId w:val="2"/>
        </w:numPr>
        <w:pBdr>
          <w:bottom w:val="single" w:color="FFFFFF" w:sz="4" w:space="11"/>
        </w:pBdr>
        <w:kinsoku/>
        <w:wordWrap/>
        <w:overflowPunct w:val="0"/>
        <w:topLinePunct w:val="0"/>
        <w:autoSpaceDE/>
        <w:autoSpaceDN/>
        <w:bidi w:val="0"/>
        <w:adjustRightInd/>
        <w:snapToGrid/>
        <w:spacing w:line="600" w:lineRule="exact"/>
        <w:ind w:left="-643" w:leftChars="0" w:firstLine="643" w:firstLineChars="0"/>
        <w:textAlignment w:val="auto"/>
        <w:outlineLvl w:val="9"/>
        <w:rPr>
          <w:rFonts w:hint="eastAsia" w:ascii="仿宋" w:hAnsi="仿宋" w:eastAsia="仿宋" w:cs="仿宋"/>
          <w:b/>
          <w:bCs/>
          <w:color w:val="auto"/>
          <w:kern w:val="2"/>
          <w:sz w:val="32"/>
          <w:szCs w:val="32"/>
          <w:lang w:val="en" w:eastAsia="zh-CN" w:bidi="ar-SA"/>
        </w:rPr>
      </w:pPr>
      <w:r>
        <w:rPr>
          <w:rFonts w:hint="eastAsia" w:ascii="仿宋" w:hAnsi="仿宋" w:eastAsia="仿宋" w:cs="仿宋"/>
          <w:b/>
          <w:bCs/>
          <w:color w:val="auto"/>
          <w:kern w:val="2"/>
          <w:sz w:val="32"/>
          <w:szCs w:val="32"/>
          <w:lang w:val="en-US" w:eastAsia="zh-CN" w:bidi="ar-SA"/>
        </w:rPr>
        <w:t>加强</w:t>
      </w:r>
      <w:r>
        <w:rPr>
          <w:rFonts w:hint="eastAsia" w:ascii="仿宋" w:hAnsi="仿宋" w:eastAsia="仿宋" w:cs="仿宋"/>
          <w:b/>
          <w:bCs/>
          <w:color w:val="auto"/>
          <w:kern w:val="2"/>
          <w:sz w:val="32"/>
          <w:szCs w:val="32"/>
          <w:lang w:val="en" w:eastAsia="zh-CN" w:bidi="ar-SA"/>
        </w:rPr>
        <w:t>基金监管，建立健全长效机制</w:t>
      </w:r>
    </w:p>
    <w:p>
      <w:pPr>
        <w:keepNext w:val="0"/>
        <w:keepLines w:val="0"/>
        <w:pageBreakBefore w:val="0"/>
        <w:widowControl w:val="0"/>
        <w:numPr>
          <w:ilvl w:val="0"/>
          <w:numId w:val="0"/>
        </w:numPr>
        <w:pBdr>
          <w:bottom w:val="single" w:color="FFFFFF" w:sz="4" w:space="11"/>
        </w:pBdr>
        <w:kinsoku/>
        <w:wordWrap/>
        <w:overflowPunct w:val="0"/>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一是</w:t>
      </w:r>
      <w:r>
        <w:rPr>
          <w:rFonts w:hint="eastAsia" w:ascii="仿宋" w:hAnsi="仿宋" w:eastAsia="仿宋" w:cs="仿宋"/>
          <w:color w:val="auto"/>
          <w:kern w:val="2"/>
          <w:sz w:val="32"/>
          <w:szCs w:val="32"/>
          <w:lang w:val="en-US" w:eastAsia="zh-CN" w:bidi="ar-SA"/>
        </w:rPr>
        <w:t>4月份开展的“打击欺诈骗保”集中宣传月活动，做好相关法律法规的培训，持续营造“不能骗、不敢骗、不想骗”的良好氛围。</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color w:val="auto"/>
          <w:kern w:val="2"/>
          <w:sz w:val="32"/>
          <w:szCs w:val="32"/>
          <w:lang w:val="en-US" w:eastAsia="zh-CN" w:bidi="ar-SA"/>
        </w:rPr>
        <w:t>坚持监督检查全覆盖，完善日常监管常态化机制。继续开展“三假”专项整治，聚焦“假病人”“假病情”“假票据”等三假欺诈骗保问题，多种形式检查，严肃查处，动员社会各界参与监管，实行举报奖励，严厉打击。</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color w:val="auto"/>
          <w:kern w:val="2"/>
          <w:sz w:val="32"/>
          <w:szCs w:val="32"/>
          <w:lang w:val="en-US" w:eastAsia="zh-CN" w:bidi="ar-SA"/>
        </w:rPr>
        <w:t>开展行政执法，持续推进部门间联合执法，信息共享，充分利用好第三方力量参与基金监管。</w:t>
      </w:r>
      <w:r>
        <w:rPr>
          <w:rFonts w:hint="eastAsia" w:ascii="仿宋" w:hAnsi="仿宋" w:eastAsia="仿宋" w:cs="仿宋"/>
          <w:b/>
          <w:bCs/>
          <w:color w:val="auto"/>
          <w:kern w:val="2"/>
          <w:sz w:val="32"/>
          <w:szCs w:val="32"/>
          <w:lang w:val="en-US" w:eastAsia="zh-CN" w:bidi="ar-SA"/>
        </w:rPr>
        <w:t>四是</w:t>
      </w:r>
      <w:r>
        <w:rPr>
          <w:rFonts w:hint="eastAsia" w:ascii="仿宋" w:hAnsi="仿宋" w:eastAsia="仿宋" w:cs="仿宋"/>
          <w:color w:val="auto"/>
          <w:kern w:val="2"/>
          <w:sz w:val="32"/>
          <w:szCs w:val="32"/>
          <w:lang w:val="en-US" w:eastAsia="zh-CN" w:bidi="ar-SA"/>
        </w:rPr>
        <w:t>加快推进智能监控建设，利用信息平台提升基金监管专业化、规范化、智能化水平，做到精准研判和打击。加强“互联网+监管”和征信信息披露建设。</w:t>
      </w:r>
    </w:p>
    <w:p>
      <w:pPr>
        <w:keepNext w:val="0"/>
        <w:keepLines w:val="0"/>
        <w:pageBreakBefore w:val="0"/>
        <w:widowControl w:val="0"/>
        <w:numPr>
          <w:ilvl w:val="0"/>
          <w:numId w:val="2"/>
        </w:numPr>
        <w:pBdr>
          <w:bottom w:val="single" w:color="FFFFFF" w:sz="4" w:space="11"/>
        </w:pBdr>
        <w:kinsoku/>
        <w:wordWrap/>
        <w:overflowPunct w:val="0"/>
        <w:topLinePunct w:val="0"/>
        <w:autoSpaceDE/>
        <w:autoSpaceDN/>
        <w:bidi w:val="0"/>
        <w:adjustRightInd/>
        <w:snapToGrid/>
        <w:spacing w:line="600" w:lineRule="exact"/>
        <w:ind w:left="-643" w:leftChars="0" w:firstLine="643" w:firstLineChars="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增强服务意识，提高经办管理效能</w:t>
      </w:r>
    </w:p>
    <w:p>
      <w:pPr>
        <w:keepNext w:val="0"/>
        <w:keepLines w:val="0"/>
        <w:pageBreakBefore w:val="0"/>
        <w:widowControl w:val="0"/>
        <w:numPr>
          <w:ilvl w:val="0"/>
          <w:numId w:val="0"/>
        </w:numPr>
        <w:pBdr>
          <w:bottom w:val="single" w:color="FFFFFF" w:sz="4" w:space="11"/>
        </w:pBdr>
        <w:kinsoku/>
        <w:wordWrap/>
        <w:overflowPunct w:val="0"/>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一是</w:t>
      </w:r>
      <w:r>
        <w:rPr>
          <w:rFonts w:hint="eastAsia" w:ascii="仿宋" w:hAnsi="仿宋" w:eastAsia="仿宋" w:cs="仿宋"/>
          <w:color w:val="auto"/>
          <w:kern w:val="2"/>
          <w:sz w:val="32"/>
          <w:szCs w:val="32"/>
          <w:u w:val="none"/>
          <w:lang w:val="en-US" w:eastAsia="zh-CN" w:bidi="ar-SA"/>
        </w:rPr>
        <w:t>探索推行综合柜员服务机制，推行医保经办窗口标准化建设，打造优质服务窗口。</w:t>
      </w:r>
      <w:r>
        <w:rPr>
          <w:rFonts w:hint="eastAsia" w:ascii="仿宋" w:hAnsi="仿宋" w:eastAsia="仿宋" w:cs="仿宋"/>
          <w:b/>
          <w:bCs/>
          <w:color w:val="auto"/>
          <w:kern w:val="2"/>
          <w:sz w:val="32"/>
          <w:szCs w:val="32"/>
          <w:u w:val="none"/>
          <w:lang w:val="en-US" w:eastAsia="zh-CN" w:bidi="ar-SA"/>
        </w:rPr>
        <w:t>二是</w:t>
      </w:r>
      <w:r>
        <w:rPr>
          <w:rFonts w:hint="eastAsia" w:ascii="仿宋" w:hAnsi="仿宋" w:eastAsia="仿宋" w:cs="仿宋"/>
          <w:color w:val="auto"/>
          <w:kern w:val="2"/>
          <w:sz w:val="32"/>
          <w:szCs w:val="32"/>
          <w:u w:val="none"/>
          <w:lang w:val="en-US" w:eastAsia="zh-CN" w:bidi="ar-SA"/>
        </w:rPr>
        <w:t>优化异地就医结算服务，双向开通省内异地就医直接结算，推进相关治疗费用跨省直接结算工作。</w:t>
      </w:r>
      <w:r>
        <w:rPr>
          <w:rFonts w:hint="eastAsia" w:ascii="仿宋" w:hAnsi="仿宋" w:eastAsia="仿宋" w:cs="仿宋"/>
          <w:b/>
          <w:bCs/>
          <w:color w:val="auto"/>
          <w:kern w:val="2"/>
          <w:sz w:val="32"/>
          <w:szCs w:val="32"/>
          <w:u w:val="none"/>
          <w:lang w:val="en-US" w:eastAsia="zh-CN" w:bidi="ar-SA"/>
        </w:rPr>
        <w:t>三是</w:t>
      </w:r>
      <w:r>
        <w:rPr>
          <w:rFonts w:hint="eastAsia" w:ascii="仿宋" w:hAnsi="仿宋" w:eastAsia="仿宋" w:cs="仿宋"/>
          <w:color w:val="auto"/>
          <w:kern w:val="2"/>
          <w:sz w:val="32"/>
          <w:szCs w:val="32"/>
          <w:u w:val="none"/>
          <w:lang w:val="en-US" w:eastAsia="zh-CN" w:bidi="ar-SA"/>
        </w:rPr>
        <w:t>推进“互联网+”医保服务，推广医保公共服务平台应用，实现医保关系转移接续等高频服务“网上办”、“手机办”。</w:t>
      </w:r>
      <w:r>
        <w:rPr>
          <w:rFonts w:hint="eastAsia" w:ascii="仿宋" w:hAnsi="仿宋" w:eastAsia="仿宋" w:cs="仿宋"/>
          <w:b/>
          <w:bCs/>
          <w:color w:val="auto"/>
          <w:kern w:val="2"/>
          <w:sz w:val="32"/>
          <w:szCs w:val="32"/>
          <w:u w:val="none"/>
          <w:lang w:val="en-US" w:eastAsia="zh-CN" w:bidi="ar-SA"/>
        </w:rPr>
        <w:t>四是</w:t>
      </w:r>
      <w:r>
        <w:rPr>
          <w:rFonts w:hint="eastAsia" w:ascii="仿宋" w:hAnsi="仿宋" w:eastAsia="仿宋" w:cs="仿宋"/>
          <w:color w:val="auto"/>
          <w:kern w:val="2"/>
          <w:sz w:val="32"/>
          <w:szCs w:val="32"/>
          <w:u w:val="none"/>
          <w:lang w:val="en-US" w:eastAsia="zh-CN" w:bidi="ar-SA"/>
        </w:rPr>
        <w:t>推进门诊慢特病服务全流程系统建设，实现门诊慢性病、特药线上申报、准入审核、一站式结算、异地结算等便捷服务。</w:t>
      </w:r>
      <w:r>
        <w:rPr>
          <w:rFonts w:hint="eastAsia" w:ascii="仿宋" w:hAnsi="仿宋" w:eastAsia="仿宋" w:cs="仿宋"/>
          <w:b/>
          <w:bCs/>
          <w:color w:val="auto"/>
          <w:kern w:val="2"/>
          <w:sz w:val="32"/>
          <w:szCs w:val="32"/>
          <w:u w:val="none"/>
          <w:lang w:val="en-US" w:eastAsia="zh-CN" w:bidi="ar-SA"/>
        </w:rPr>
        <w:t>五是</w:t>
      </w:r>
      <w:r>
        <w:rPr>
          <w:rFonts w:hint="eastAsia" w:ascii="仿宋" w:hAnsi="仿宋" w:eastAsia="仿宋" w:cs="仿宋"/>
          <w:color w:val="auto"/>
          <w:kern w:val="2"/>
          <w:sz w:val="32"/>
          <w:szCs w:val="32"/>
          <w:u w:val="none"/>
          <w:lang w:val="en-US" w:eastAsia="zh-CN" w:bidi="ar-SA"/>
        </w:rPr>
        <w:t>加快经办机构服务标准化建设，争取年底实现门诊大额疾病专家网上鉴定。</w:t>
      </w:r>
      <w:r>
        <w:rPr>
          <w:rFonts w:hint="eastAsia" w:ascii="仿宋" w:hAnsi="仿宋" w:eastAsia="仿宋" w:cs="仿宋"/>
          <w:b/>
          <w:bCs/>
          <w:color w:val="auto"/>
          <w:kern w:val="2"/>
          <w:sz w:val="32"/>
          <w:szCs w:val="32"/>
          <w:u w:val="none"/>
          <w:lang w:val="en-US" w:eastAsia="zh-CN" w:bidi="ar-SA"/>
        </w:rPr>
        <w:t>六是</w:t>
      </w:r>
      <w:r>
        <w:rPr>
          <w:rFonts w:hint="eastAsia" w:ascii="仿宋" w:hAnsi="仿宋" w:eastAsia="仿宋" w:cs="仿宋"/>
          <w:color w:val="auto"/>
          <w:kern w:val="2"/>
          <w:sz w:val="32"/>
          <w:szCs w:val="32"/>
          <w:u w:val="none"/>
          <w:lang w:val="en-US" w:eastAsia="zh-CN" w:bidi="ar-SA"/>
        </w:rPr>
        <w:t>全面推广医保电子凭证应用场景建设。</w:t>
      </w:r>
    </w:p>
    <w:p>
      <w:pPr>
        <w:rPr>
          <w:rFonts w:hint="eastAsia" w:ascii="黑体" w:hAnsi="Times New Roman" w:eastAsia="黑体"/>
          <w:kern w:val="0"/>
          <w:sz w:val="32"/>
          <w:szCs w:val="32"/>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十一、襄汾县医疗保障</w:t>
      </w:r>
      <w:r>
        <w:rPr>
          <w:rFonts w:hint="eastAsia" w:ascii="仿宋_GB2312" w:hAnsi="仿宋_GB2312" w:eastAsia="仿宋_GB2312" w:cs="仿宋_GB2312"/>
          <w:b w:val="0"/>
          <w:bCs w:val="0"/>
          <w:sz w:val="32"/>
          <w:szCs w:val="32"/>
          <w:lang w:val="en-US" w:eastAsia="zh-CN"/>
        </w:rPr>
        <w:t>局2022年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eastAsia="zh-CN"/>
        </w:rPr>
        <w:t>襄汾县医疗保障</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襄汾县医疗保障局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none"/>
          <w:lang w:val="en-US" w:eastAsia="zh-CN"/>
        </w:rPr>
        <w:t>18697.14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81.46</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18697.14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81.46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城乡居民基本医疗保险由县级统筹纳入市级统筹故预算减少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万元，主要用于……。与上年相比增加（减少）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万元，主要用于……。与上年相比增加（减少）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none"/>
          <w:lang w:val="en-US" w:eastAsia="zh-CN"/>
        </w:rPr>
        <w:t>424.85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12.16</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2.94</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人员工资提高，工作力度增强</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3831.1</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18709.3</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83</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城乡居民基本医疗保险由县级统筹纳入市级统筹故预算减少</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襄汾县医疗保障局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襄汾县医疗保障局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424.85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lang w:val="en-US" w:eastAsia="zh-CN"/>
        </w:rPr>
        <w:t>3831.1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90</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襄汾县医疗保障局2022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18697.14</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81.46</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城乡居民基本医疗保险由县级统筹纳入市级统筹故预算减少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襄汾县医疗保障局2022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4255.95</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18697.14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lang w:val="en-US" w:eastAsia="zh-CN"/>
        </w:rPr>
        <w:t>81.46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城乡居民基本医疗保险由县级统筹纳入市级统筹故预算减少</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襄汾县医疗保障局2022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424.85</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416.6</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8.25</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襄汾县医疗保障局2022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803" w:firstLineChars="250"/>
        <w:jc w:val="left"/>
        <w:rPr>
          <w:rFonts w:ascii="仿宋_GB2312" w:hAnsi="楷体" w:eastAsia="仿宋_GB2312"/>
          <w:kern w:val="0"/>
          <w:sz w:val="32"/>
          <w:szCs w:val="32"/>
        </w:rPr>
      </w:pPr>
      <w:r>
        <w:rPr>
          <w:rFonts w:hint="eastAsia" w:ascii="仿宋_GB2312" w:hAnsi="黑体" w:eastAsia="仿宋_GB2312"/>
          <w:b/>
          <w:sz w:val="32"/>
          <w:szCs w:val="32"/>
          <w:lang w:eastAsia="zh-CN"/>
        </w:rPr>
        <w:t>襄汾县医疗保障局</w:t>
      </w:r>
      <w:r>
        <w:rPr>
          <w:rFonts w:hint="eastAsia" w:ascii="仿宋_GB2312" w:hAnsi="黑体" w:eastAsia="仿宋_GB2312"/>
          <w:b/>
          <w:sz w:val="32"/>
          <w:szCs w:val="32"/>
        </w:rPr>
        <w:t>本部门无“三公”经费</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襄汾县医疗保障局2022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万元，主要原因……。</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8.25</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none"/>
          <w:lang w:val="en-US" w:eastAsia="zh-CN"/>
        </w:rPr>
        <w:t>0.78</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none"/>
          <w:lang w:val="en-US" w:eastAsia="zh-CN"/>
        </w:rPr>
        <w:t>8.6</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节约单位机关运行成本</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10.14</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10.14</w:t>
      </w:r>
      <w:r>
        <w:rPr>
          <w:rFonts w:hint="eastAsia" w:ascii="仿宋_GB2312" w:hAnsi="楷体" w:eastAsia="仿宋_GB2312"/>
          <w:kern w:val="0"/>
          <w:sz w:val="32"/>
          <w:szCs w:val="32"/>
          <w:u w:val="none"/>
        </w:rPr>
        <w:t>万</w:t>
      </w:r>
      <w:r>
        <w:rPr>
          <w:rFonts w:hint="eastAsia" w:ascii="仿宋_GB2312" w:hAnsi="楷体" w:eastAsia="仿宋_GB2312"/>
          <w:kern w:val="0"/>
          <w:sz w:val="32"/>
          <w:szCs w:val="32"/>
        </w:rPr>
        <w:t>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lang w:val="en-US" w:eastAsia="zh-CN"/>
        </w:rPr>
        <w:t>5</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3833.308</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bookmarkStart w:id="0" w:name="_GoBack"/>
      <w:r>
        <w:rPr>
          <w:rFonts w:hint="eastAsia" w:ascii="仿宋_GB2312" w:hAnsi="楷体" w:eastAsia="仿宋_GB2312"/>
          <w:kern w:val="0"/>
          <w:sz w:val="32"/>
          <w:szCs w:val="32"/>
          <w:u w:val="none"/>
          <w:lang w:val="en-US" w:eastAsia="zh-CN"/>
        </w:rPr>
        <w:t>3833.308</w:t>
      </w:r>
      <w:bookmarkEnd w:id="0"/>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黑体" w:eastAsia="仿宋_GB2312"/>
          <w:b/>
          <w:spacing w:val="-16"/>
          <w:kern w:val="0"/>
          <w:sz w:val="32"/>
          <w:szCs w:val="32"/>
          <w:lang w:eastAsia="zh-CN"/>
        </w:rPr>
        <w:t>我单位</w:t>
      </w:r>
      <w:r>
        <w:rPr>
          <w:rFonts w:hint="eastAsia" w:ascii="仿宋_GB2312" w:hAnsi="黑体" w:eastAsia="仿宋_GB2312"/>
          <w:b/>
          <w:spacing w:val="-16"/>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F6A5631D"/>
    <w:multiLevelType w:val="singleLevel"/>
    <w:tmpl w:val="F6A5631D"/>
    <w:lvl w:ilvl="0" w:tentative="0">
      <w:start w:val="1"/>
      <w:numFmt w:val="chineseCounting"/>
      <w:suff w:val="nothing"/>
      <w:lvlText w:val="（%1）"/>
      <w:lvlJc w:val="left"/>
      <w:pPr>
        <w:ind w:left="-643"/>
      </w:pPr>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1A40E2"/>
    <w:rsid w:val="0B7A268C"/>
    <w:rsid w:val="0C1511A6"/>
    <w:rsid w:val="0C550EC0"/>
    <w:rsid w:val="0ECF36D9"/>
    <w:rsid w:val="0F9D6887"/>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AC3A04"/>
    <w:rsid w:val="1FD5315A"/>
    <w:rsid w:val="20154AC9"/>
    <w:rsid w:val="20953A56"/>
    <w:rsid w:val="20B465EE"/>
    <w:rsid w:val="217B69F9"/>
    <w:rsid w:val="22461B1D"/>
    <w:rsid w:val="229A0D7C"/>
    <w:rsid w:val="22CC6E73"/>
    <w:rsid w:val="22DF6CA5"/>
    <w:rsid w:val="23613E3F"/>
    <w:rsid w:val="23C10D48"/>
    <w:rsid w:val="23D52ACB"/>
    <w:rsid w:val="23F2500F"/>
    <w:rsid w:val="24D33A48"/>
    <w:rsid w:val="25E45E86"/>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143586"/>
    <w:rsid w:val="2E4538B8"/>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91763F"/>
    <w:rsid w:val="44B8486B"/>
    <w:rsid w:val="45047640"/>
    <w:rsid w:val="457C07BD"/>
    <w:rsid w:val="46463CE7"/>
    <w:rsid w:val="47EE3BCE"/>
    <w:rsid w:val="48882984"/>
    <w:rsid w:val="49FF0CFB"/>
    <w:rsid w:val="4B517DBB"/>
    <w:rsid w:val="4BEC58E9"/>
    <w:rsid w:val="4BF3571C"/>
    <w:rsid w:val="4CB45D69"/>
    <w:rsid w:val="4CCC2331"/>
    <w:rsid w:val="4D6954BF"/>
    <w:rsid w:val="50BC7B39"/>
    <w:rsid w:val="522923A1"/>
    <w:rsid w:val="527C3191"/>
    <w:rsid w:val="5389231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CE5D34"/>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BBC45D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首行缩进 21"/>
    <w:basedOn w:val="1"/>
    <w:qFormat/>
    <w:uiPriority w:val="0"/>
    <w:pPr>
      <w:ind w:left="420" w:leftChars="200"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dell</cp:lastModifiedBy>
  <cp:lastPrinted>2022-03-07T02:39:00Z</cp:lastPrinted>
  <dcterms:modified xsi:type="dcterms:W3CDTF">2022-03-07T03:04:06Z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