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襄汾县档案馆202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spacing w:line="600" w:lineRule="exact"/>
        <w:ind w:firstLine="835" w:firstLineChars="26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襄汾县档案馆为襄汾县委直属事业单位。</w:t>
      </w:r>
      <w:r>
        <w:rPr>
          <w:rFonts w:hint="eastAsia" w:ascii="仿宋_GB2312" w:eastAsia="仿宋_GB2312"/>
          <w:color w:val="auto"/>
          <w:sz w:val="32"/>
          <w:szCs w:val="32"/>
        </w:rPr>
        <w:t>主要</w:t>
      </w:r>
      <w:r>
        <w:rPr>
          <w:rFonts w:hint="eastAsia" w:ascii="仿宋_GB2312" w:eastAsia="仿宋_GB2312"/>
          <w:color w:val="auto"/>
          <w:sz w:val="32"/>
          <w:szCs w:val="32"/>
          <w:lang w:val="en-US" w:eastAsia="zh-CN"/>
        </w:rPr>
        <w:t>职责任务：主要贯彻执行党和国家有关档案工作的法律、法规和方针、政策，以及山西省地方性档案工作的法规、规章和规定性文件的落实；</w:t>
      </w:r>
      <w:r>
        <w:rPr>
          <w:rFonts w:hint="eastAsia" w:ascii="仿宋_GB2312" w:eastAsia="仿宋_GB2312"/>
          <w:color w:val="auto"/>
          <w:sz w:val="32"/>
          <w:szCs w:val="32"/>
        </w:rPr>
        <w:t>负责</w:t>
      </w:r>
      <w:r>
        <w:rPr>
          <w:rFonts w:hint="eastAsia" w:ascii="仿宋_GB2312" w:eastAsia="仿宋_GB2312"/>
          <w:color w:val="auto"/>
          <w:sz w:val="32"/>
          <w:szCs w:val="32"/>
          <w:lang w:val="en-US" w:eastAsia="zh-CN"/>
        </w:rPr>
        <w:t>对</w:t>
      </w:r>
      <w:r>
        <w:rPr>
          <w:rFonts w:hint="eastAsia" w:ascii="仿宋_GB2312" w:eastAsia="仿宋_GB2312"/>
          <w:color w:val="auto"/>
          <w:sz w:val="32"/>
          <w:szCs w:val="32"/>
        </w:rPr>
        <w:t>全县</w:t>
      </w:r>
      <w:r>
        <w:rPr>
          <w:rFonts w:hint="eastAsia" w:ascii="仿宋_GB2312" w:eastAsia="仿宋_GB2312"/>
          <w:color w:val="auto"/>
          <w:sz w:val="32"/>
          <w:szCs w:val="32"/>
          <w:lang w:val="en-US" w:eastAsia="zh-CN"/>
        </w:rPr>
        <w:t>档案工作实行统筹规划，宏观管理，拟定全县档案事业发展规划，计划并组织实施；负责组织、指导、检查、督促、协调县直机关、群众团体、企事业单位和本县档案业务工作；集中统一管理县委、县政府及县直机关重要档案资料，保守党和国家机密，维护档案的完整，确保档案的完整，确保档案资料的安全；负责接受、征集、整理、保管县委、县政府以及县直机关按规定应当进馆的档案资料，收集和征集散失在县区</w:t>
      </w:r>
      <w:r>
        <w:rPr>
          <w:rFonts w:hint="eastAsia" w:ascii="仿宋_GB2312" w:eastAsia="仿宋_GB2312"/>
          <w:color w:val="auto"/>
          <w:sz w:val="32"/>
          <w:szCs w:val="32"/>
        </w:rPr>
        <w:t>内</w:t>
      </w:r>
      <w:r>
        <w:rPr>
          <w:rFonts w:hint="eastAsia" w:ascii="仿宋_GB2312" w:eastAsia="仿宋_GB2312"/>
          <w:color w:val="auto"/>
          <w:sz w:val="32"/>
          <w:szCs w:val="32"/>
          <w:lang w:val="en-US" w:eastAsia="zh-CN"/>
        </w:rPr>
        <w:t>外的有关档案资料、文件和史料，管理和现代化建设，做好档案的编研出版和档案信息开发工作，为社会提供利用；拟定并组织实施全县档案系统的教育发展规划，加强档案宣传工作，指导全县基层档案队伍建设和基础建设，组织档案专业知识教育和档案人员岗位培训工作；</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hint="eastAsia" w:ascii="仿宋_GB2312" w:hAnsi="仿宋_GB2312" w:eastAsia="仿宋_GB2312" w:cs="仿宋_GB2312"/>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仿宋_GB2312" w:eastAsia="仿宋_GB2312" w:cs="仿宋_GB2312"/>
          <w:sz w:val="32"/>
          <w:szCs w:val="32"/>
        </w:rPr>
        <w:t>根据部门职责分工，本部门内设机构包括</w:t>
      </w:r>
      <w:r>
        <w:rPr>
          <w:rFonts w:hint="eastAsia" w:ascii="仿宋_GB2312" w:hAnsi="仿宋_GB2312" w:eastAsia="仿宋_GB2312" w:cs="仿宋_GB2312"/>
          <w:sz w:val="32"/>
          <w:szCs w:val="32"/>
          <w:lang w:val="en-US" w:eastAsia="zh-CN"/>
        </w:rPr>
        <w:t>办公室、档案业务指导股、档案管理股、档案史料编研法规股四个股室。</w:t>
      </w:r>
      <w:r>
        <w:rPr>
          <w:rFonts w:hint="eastAsia" w:ascii="仿宋_GB2312" w:hAnsi="楷体" w:eastAsia="仿宋_GB2312"/>
          <w:kern w:val="0"/>
          <w:sz w:val="32"/>
          <w:szCs w:val="32"/>
        </w:rPr>
        <w:t>本部门无下属单位</w:t>
      </w:r>
      <w:r>
        <w:rPr>
          <w:rFonts w:hint="eastAsia" w:ascii="仿宋_GB2312" w:hAnsi="楷体" w:eastAsia="仿宋_GB2312"/>
          <w:kern w:val="0"/>
          <w:sz w:val="32"/>
          <w:szCs w:val="32"/>
          <w:lang w:eastAsia="zh-CN"/>
        </w:rPr>
        <w:t>。</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襄汾县档案馆</w:t>
      </w:r>
      <w:r>
        <w:rPr>
          <w:rFonts w:hint="eastAsia" w:ascii="仿宋_GB2312" w:hAnsi="楷体" w:eastAsia="仿宋_GB2312"/>
          <w:kern w:val="0"/>
          <w:sz w:val="32"/>
          <w:szCs w:val="32"/>
        </w:rPr>
        <w:t>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年部门主要工作任务及目标</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扎实开展脱贫攻坚巩固工作，认真落实中央、省、市、县扶贫政策。</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深入开展档案业务指导，推进档案业务建设，提升业务整体水平，计划完成1-2个单位的业务指导工作。</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继续开展档案宣传工作，利用“6.9国际档案日”、“12.4宪法宣传日”做好档案宣传工作。</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sz w:val="32"/>
          <w:szCs w:val="32"/>
          <w:lang w:val="en-US" w:eastAsia="zh-CN"/>
        </w:rPr>
        <w:t>做好档案查阅利用接收工作，为县委、县政府发展经</w:t>
      </w:r>
      <w:r>
        <w:rPr>
          <w:rFonts w:hint="eastAsia" w:ascii="仿宋_GB2312" w:hAnsi="仿宋_GB2312" w:eastAsia="仿宋_GB2312" w:cs="仿宋_GB2312"/>
          <w:sz w:val="32"/>
          <w:szCs w:val="32"/>
        </w:rPr>
        <w:t>济、稳定大局，解决遗留问题，提供了可查考的依据。</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圆满完成县委、县政府交办的各项工作任务。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bookmarkStart w:id="0" w:name="_GoBack"/>
      <w:bookmarkEnd w:id="0"/>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eastAsia="仿宋_GB2312"/>
          <w:color w:val="auto"/>
          <w:sz w:val="32"/>
          <w:szCs w:val="32"/>
          <w:lang w:val="en-US" w:eastAsia="zh-CN"/>
        </w:rPr>
        <w:t>襄汾县档案馆</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eastAsia="仿宋_GB2312"/>
          <w:color w:val="auto"/>
          <w:sz w:val="32"/>
          <w:szCs w:val="32"/>
          <w:lang w:val="en-US" w:eastAsia="zh-CN"/>
        </w:rPr>
        <w:t>襄汾县档案馆</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eastAsia="仿宋_GB2312"/>
          <w:color w:val="auto"/>
          <w:sz w:val="32"/>
          <w:szCs w:val="32"/>
          <w:lang w:val="en-US" w:eastAsia="zh-CN"/>
        </w:rPr>
        <w:t>襄汾县档案馆</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none"/>
          <w:lang w:val="en-US" w:eastAsia="zh-CN"/>
        </w:rPr>
        <w:t>242.78</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none"/>
          <w:lang w:val="en-US" w:eastAsia="zh-CN"/>
        </w:rPr>
        <w:t>9.86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4.23</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242.78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242.78</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242.78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9.86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4.23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人员增加，工资预算增加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none"/>
          <w:lang w:val="en-US" w:eastAsia="zh-CN"/>
        </w:rPr>
        <w:t>242.78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177.19</w:t>
      </w:r>
      <w:r>
        <w:rPr>
          <w:rFonts w:hint="eastAsia" w:ascii="仿宋_GB2312" w:hAnsi="楷体" w:eastAsia="仿宋_GB2312"/>
          <w:kern w:val="0"/>
          <w:sz w:val="32"/>
          <w:szCs w:val="32"/>
        </w:rPr>
        <w:t>万元，主要用于主要用于</w:t>
      </w:r>
      <w:r>
        <w:rPr>
          <w:rFonts w:hint="eastAsia" w:ascii="仿宋_GB2312" w:hAnsi="楷体" w:eastAsia="仿宋_GB2312"/>
          <w:kern w:val="0"/>
          <w:sz w:val="32"/>
          <w:szCs w:val="32"/>
          <w:lang w:eastAsia="zh-CN"/>
        </w:rPr>
        <w:t>档案事务运行等</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none"/>
          <w:lang w:val="en-US" w:eastAsia="zh-CN"/>
        </w:rPr>
        <w:t>6.65</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3.90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有人员增加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社会保障和就业支出</w:t>
      </w:r>
      <w:r>
        <w:rPr>
          <w:rFonts w:hint="eastAsia" w:ascii="仿宋_GB2312" w:hAnsi="楷体" w:eastAsia="仿宋_GB2312"/>
          <w:kern w:val="0"/>
          <w:sz w:val="32"/>
          <w:szCs w:val="32"/>
          <w:lang w:val="en-US" w:eastAsia="zh-CN"/>
        </w:rPr>
        <w:t>41.88</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1.81</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u w:val="none"/>
          <w:lang w:val="en-US" w:eastAsia="zh-CN"/>
        </w:rPr>
        <w:t>4.52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有人员增加</w:t>
      </w:r>
      <w:r>
        <w:rPr>
          <w:rFonts w:hint="eastAsia" w:ascii="仿宋_GB2312" w:hAnsi="楷体" w:eastAsia="仿宋_GB2312"/>
          <w:kern w:val="0"/>
          <w:sz w:val="32"/>
          <w:szCs w:val="32"/>
        </w:rPr>
        <w:t>。</w:t>
      </w:r>
    </w:p>
    <w:p>
      <w:pPr>
        <w:widowControl/>
        <w:spacing w:line="560" w:lineRule="exact"/>
        <w:ind w:firstLine="640"/>
        <w:rPr>
          <w:rFonts w:hint="default" w:ascii="仿宋_GB2312" w:hAnsi="楷体" w:eastAsia="仿宋_GB2312"/>
          <w:kern w:val="0"/>
          <w:sz w:val="32"/>
          <w:szCs w:val="32"/>
          <w:lang w:val="en-US" w:eastAsia="zh-CN"/>
        </w:rPr>
      </w:pPr>
      <w:r>
        <w:rPr>
          <w:rFonts w:ascii="仿宋_GB2312" w:hAnsi="楷体" w:eastAsia="仿宋_GB2312"/>
          <w:kern w:val="0"/>
          <w:sz w:val="32"/>
          <w:szCs w:val="32"/>
        </w:rPr>
        <w:t>3</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卫生健康支出11.15万元，</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0.47</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u w:val="none"/>
          <w:lang w:val="en-US" w:eastAsia="zh-CN"/>
        </w:rPr>
        <w:t>4.40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有人员增加</w:t>
      </w:r>
      <w:r>
        <w:rPr>
          <w:rFonts w:hint="eastAsia" w:ascii="仿宋_GB2312" w:hAnsi="楷体" w:eastAsia="仿宋_GB2312"/>
          <w:kern w:val="0"/>
          <w:sz w:val="32"/>
          <w:szCs w:val="32"/>
        </w:rPr>
        <w:t>。</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4.住房保障支出12.56万元，</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0.93</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u w:val="none"/>
          <w:lang w:val="en-US" w:eastAsia="zh-CN"/>
        </w:rPr>
        <w:t>8.0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left="159"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lang w:val="en-US" w:eastAsia="zh-CN"/>
        </w:rPr>
        <w:t>237.65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10.13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4.45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有人员增加</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5.13</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0.27</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档案业务费开支减少</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襄汾县档案馆</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242.78</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242.78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襄汾县档案馆</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242.78</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237.65</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97.89</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5.13</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2.11</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襄汾县档案馆</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lang w:val="en-US" w:eastAsia="zh-CN"/>
        </w:rPr>
        <w:t>485.56</w:t>
      </w:r>
      <w:r>
        <w:rPr>
          <w:rFonts w:hint="eastAsia" w:ascii="仿宋_GB2312" w:hAnsi="楷体" w:eastAsia="仿宋_GB2312"/>
          <w:kern w:val="0"/>
          <w:sz w:val="32"/>
          <w:szCs w:val="32"/>
        </w:rPr>
        <w:t>万元。与上年相比，财政拨款收、支总计各</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9.86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增长</w:t>
      </w:r>
      <w:r>
        <w:rPr>
          <w:rFonts w:hint="eastAsia" w:ascii="仿宋_GB2312" w:hAnsi="楷体" w:eastAsia="仿宋_GB2312"/>
          <w:kern w:val="0"/>
          <w:sz w:val="32"/>
          <w:szCs w:val="32"/>
          <w:lang w:val="en-US" w:eastAsia="zh-CN"/>
        </w:rPr>
        <w:t>4.23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有人员增加。</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襄汾县档案馆</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lang w:val="en-US" w:eastAsia="zh-CN"/>
        </w:rPr>
        <w:t>242.78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9.86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4.23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人员增加，工资预算增加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襄汾县档案馆</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232.65</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230.33</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7.32</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lang w:eastAsia="zh-CN"/>
        </w:rPr>
        <w:t>襄汾县档案馆</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我单位</w:t>
      </w:r>
      <w:r>
        <w:rPr>
          <w:rFonts w:hint="eastAsia" w:ascii="仿宋_GB2312" w:hAnsi="楷体" w:eastAsia="仿宋_GB2312"/>
          <w:kern w:val="0"/>
          <w:sz w:val="32"/>
          <w:szCs w:val="32"/>
          <w:lang w:val="en-US" w:eastAsia="zh-CN"/>
        </w:rPr>
        <w:t>2021年度</w:t>
      </w:r>
      <w:r>
        <w:rPr>
          <w:rFonts w:hint="eastAsia" w:ascii="仿宋_GB2312" w:hAnsi="楷体" w:eastAsia="仿宋_GB2312"/>
          <w:kern w:val="0"/>
          <w:sz w:val="32"/>
          <w:szCs w:val="32"/>
        </w:rPr>
        <w:t>无“三公”经费</w:t>
      </w:r>
      <w:r>
        <w:rPr>
          <w:rFonts w:hint="eastAsia" w:ascii="仿宋_GB2312" w:hAnsi="楷体" w:eastAsia="仿宋_GB2312"/>
          <w:kern w:val="0"/>
          <w:sz w:val="32"/>
          <w:szCs w:val="32"/>
          <w:lang w:eastAsia="zh-CN"/>
        </w:rPr>
        <w:t>，较上年没有变化</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8.65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1.45</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20.13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有人员增加情况</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本部门没有政府采购情况</w:t>
      </w:r>
    </w:p>
    <w:p>
      <w:pPr>
        <w:autoSpaceDE w:val="0"/>
        <w:autoSpaceDN w:val="0"/>
        <w:adjustRightInd w:val="0"/>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车辆</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5.13</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5.13</w:t>
      </w:r>
      <w:r>
        <w:rPr>
          <w:rFonts w:hint="eastAsia" w:ascii="仿宋_GB2312" w:hAnsi="楷体" w:eastAsia="仿宋_GB2312"/>
          <w:kern w:val="0"/>
          <w:sz w:val="32"/>
          <w:szCs w:val="32"/>
        </w:rPr>
        <w:t>万元。</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2DEEF"/>
    <w:multiLevelType w:val="singleLevel"/>
    <w:tmpl w:val="C152DEEF"/>
    <w:lvl w:ilvl="0" w:tentative="0">
      <w:start w:val="1"/>
      <w:numFmt w:val="decimal"/>
      <w:lvlText w:val="%1."/>
      <w:lvlJc w:val="left"/>
      <w:pPr>
        <w:tabs>
          <w:tab w:val="left" w:pos="312"/>
        </w:tabs>
      </w:p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737145"/>
    <w:rsid w:val="0595462A"/>
    <w:rsid w:val="05E51BD6"/>
    <w:rsid w:val="068F085F"/>
    <w:rsid w:val="06C82279"/>
    <w:rsid w:val="06DD6518"/>
    <w:rsid w:val="09533FC4"/>
    <w:rsid w:val="09ED16A4"/>
    <w:rsid w:val="0A395A2B"/>
    <w:rsid w:val="0A781506"/>
    <w:rsid w:val="0A831A07"/>
    <w:rsid w:val="0B7A268C"/>
    <w:rsid w:val="0C550EC0"/>
    <w:rsid w:val="0E0126B1"/>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1FA3042"/>
    <w:rsid w:val="32103D80"/>
    <w:rsid w:val="32673A99"/>
    <w:rsid w:val="32CE2438"/>
    <w:rsid w:val="34732E94"/>
    <w:rsid w:val="34C942F5"/>
    <w:rsid w:val="34DE6D61"/>
    <w:rsid w:val="34E9586F"/>
    <w:rsid w:val="35780C7F"/>
    <w:rsid w:val="36951834"/>
    <w:rsid w:val="36D55DA2"/>
    <w:rsid w:val="373B78F2"/>
    <w:rsid w:val="395C094E"/>
    <w:rsid w:val="397841A2"/>
    <w:rsid w:val="39B865D7"/>
    <w:rsid w:val="39C35268"/>
    <w:rsid w:val="39FD2297"/>
    <w:rsid w:val="3A984265"/>
    <w:rsid w:val="3ABA5314"/>
    <w:rsid w:val="3B0872A5"/>
    <w:rsid w:val="3C8B2D2A"/>
    <w:rsid w:val="3C9A09D4"/>
    <w:rsid w:val="3D036264"/>
    <w:rsid w:val="3D11386C"/>
    <w:rsid w:val="3D1C321B"/>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8135B7"/>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3F0D44"/>
    <w:rsid w:val="71D47169"/>
    <w:rsid w:val="720A3FB4"/>
    <w:rsid w:val="72C23FBE"/>
    <w:rsid w:val="72F81C9E"/>
    <w:rsid w:val="736E3BAB"/>
    <w:rsid w:val="75A56425"/>
    <w:rsid w:val="761362F3"/>
    <w:rsid w:val="77481BE2"/>
    <w:rsid w:val="77915F20"/>
    <w:rsid w:val="78317136"/>
    <w:rsid w:val="78801057"/>
    <w:rsid w:val="78957C19"/>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 w:val="DFFF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2023-05-04T17:38:00Z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