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spacing w:line="600" w:lineRule="exact"/>
        <w:jc w:val="center"/>
        <w:textAlignment w:val="auto"/>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val="en-US" w:eastAsia="zh-CN"/>
        </w:rPr>
        <w:t>中共</w:t>
      </w:r>
      <w:r>
        <w:rPr>
          <w:rFonts w:hint="eastAsia" w:ascii="宋体" w:hAnsi="宋体" w:eastAsia="宋体" w:cs="宋体"/>
          <w:b/>
          <w:bCs/>
          <w:kern w:val="0"/>
          <w:sz w:val="44"/>
          <w:szCs w:val="44"/>
          <w:lang w:eastAsia="zh-CN"/>
        </w:rPr>
        <w:t>襄汾县委宣传部</w:t>
      </w:r>
    </w:p>
    <w:p>
      <w:pPr>
        <w:pageBreakBefore w:val="0"/>
        <w:widowControl w:val="0"/>
        <w:kinsoku/>
        <w:wordWrap/>
        <w:overflowPunct/>
        <w:topLinePunct w:val="0"/>
        <w:bidi w:val="0"/>
        <w:spacing w:line="600" w:lineRule="exact"/>
        <w:jc w:val="center"/>
        <w:textAlignment w:val="auto"/>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202</w:t>
      </w:r>
      <w:r>
        <w:rPr>
          <w:rFonts w:hint="eastAsia" w:ascii="宋体" w:hAnsi="宋体" w:eastAsia="宋体" w:cs="宋体"/>
          <w:b/>
          <w:bCs/>
          <w:kern w:val="0"/>
          <w:sz w:val="44"/>
          <w:szCs w:val="44"/>
          <w:lang w:val="en-US" w:eastAsia="zh-CN"/>
        </w:rPr>
        <w:t>1</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pageBreakBefore w:val="0"/>
        <w:widowControl w:val="0"/>
        <w:kinsoku/>
        <w:wordWrap/>
        <w:overflowPunct/>
        <w:topLinePunct w:val="0"/>
        <w:bidi w:val="0"/>
        <w:spacing w:line="600" w:lineRule="exact"/>
        <w:jc w:val="both"/>
        <w:textAlignment w:val="auto"/>
        <w:rPr>
          <w:rFonts w:hint="eastAsia" w:ascii="宋体" w:hAnsi="宋体" w:eastAsia="宋体" w:cs="宋体"/>
          <w:b/>
          <w:bCs/>
          <w:kern w:val="0"/>
          <w:sz w:val="44"/>
          <w:szCs w:val="44"/>
          <w:lang w:eastAsia="zh-CN"/>
        </w:rPr>
      </w:pPr>
    </w:p>
    <w:p>
      <w:pPr>
        <w:pageBreakBefore w:val="0"/>
        <w:widowControl w:val="0"/>
        <w:numPr>
          <w:ilvl w:val="0"/>
          <w:numId w:val="1"/>
        </w:numPr>
        <w:kinsoku/>
        <w:wordWrap/>
        <w:overflowPunct/>
        <w:topLinePunct w:val="0"/>
        <w:bidi w:val="0"/>
        <w:spacing w:line="600" w:lineRule="exact"/>
        <w:jc w:val="center"/>
        <w:textAlignment w:val="auto"/>
        <w:rPr>
          <w:rFonts w:hint="eastAsia" w:ascii="黑体" w:hAnsi="Times New Roman" w:eastAsia="黑体"/>
          <w:kern w:val="0"/>
          <w:sz w:val="32"/>
          <w:szCs w:val="32"/>
        </w:rPr>
      </w:pPr>
      <w:r>
        <w:rPr>
          <w:rFonts w:hint="eastAsia" w:ascii="黑体" w:hAnsi="Times New Roman" w:eastAsia="黑体"/>
          <w:kern w:val="0"/>
          <w:sz w:val="32"/>
          <w:szCs w:val="32"/>
        </w:rPr>
        <w:t>概况</w:t>
      </w:r>
    </w:p>
    <w:p>
      <w:pPr>
        <w:pageBreakBefore w:val="0"/>
        <w:widowControl w:val="0"/>
        <w:numPr>
          <w:ilvl w:val="0"/>
          <w:numId w:val="0"/>
        </w:numPr>
        <w:kinsoku/>
        <w:wordWrap/>
        <w:overflowPunct/>
        <w:topLinePunct w:val="0"/>
        <w:bidi w:val="0"/>
        <w:spacing w:line="600" w:lineRule="exact"/>
        <w:jc w:val="both"/>
        <w:textAlignment w:val="auto"/>
        <w:rPr>
          <w:rFonts w:hint="eastAsia" w:ascii="黑体" w:hAnsi="Times New Roman" w:eastAsia="黑体"/>
          <w:kern w:val="0"/>
          <w:sz w:val="32"/>
          <w:szCs w:val="32"/>
        </w:rPr>
      </w:pPr>
    </w:p>
    <w:p>
      <w:pPr>
        <w:pageBreakBefore w:val="0"/>
        <w:widowControl w:val="0"/>
        <w:numPr>
          <w:ilvl w:val="0"/>
          <w:numId w:val="2"/>
        </w:numPr>
        <w:kinsoku/>
        <w:wordWrap/>
        <w:overflowPunct/>
        <w:topLinePunct w:val="0"/>
        <w:bidi w:val="0"/>
        <w:spacing w:line="600" w:lineRule="exact"/>
        <w:ind w:firstLine="64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本部门职责</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（一）负责贯彻落实中央、省委、市委、县委在宣传思想文化战线的方针政策，拟</w:t>
      </w:r>
      <w:r>
        <w:rPr>
          <w:rFonts w:hint="eastAsia" w:ascii="仿宋_GB2312" w:hAnsi="楷体" w:eastAsia="仿宋_GB2312"/>
          <w:kern w:val="0"/>
          <w:sz w:val="32"/>
          <w:szCs w:val="32"/>
          <w:lang w:eastAsia="zh-CN"/>
        </w:rPr>
        <w:t>订</w:t>
      </w:r>
      <w:r>
        <w:rPr>
          <w:rFonts w:hint="eastAsia" w:ascii="仿宋_GB2312" w:hAnsi="楷体" w:eastAsia="仿宋_GB2312"/>
          <w:kern w:val="0"/>
          <w:sz w:val="32"/>
          <w:szCs w:val="32"/>
        </w:rPr>
        <w:t>全县宣传思想文化工作重大方针政策和事业发展总体规划，</w:t>
      </w:r>
      <w:r>
        <w:rPr>
          <w:rFonts w:hint="eastAsia" w:ascii="仿宋_GB2312" w:hAnsi="楷体" w:eastAsia="仿宋_GB2312"/>
          <w:kern w:val="0"/>
          <w:sz w:val="32"/>
          <w:szCs w:val="32"/>
          <w:lang w:eastAsia="zh-CN"/>
        </w:rPr>
        <w:t>负责</w:t>
      </w:r>
      <w:r>
        <w:rPr>
          <w:rFonts w:hint="eastAsia" w:ascii="仿宋_GB2312" w:hAnsi="楷体" w:eastAsia="仿宋_GB2312"/>
          <w:kern w:val="0"/>
          <w:sz w:val="32"/>
          <w:szCs w:val="32"/>
        </w:rPr>
        <w:t>推进全县宣传思想文化领域法治建设，按照县委统一部署，协调全县宣传思想文化系统各部门之间的工作。</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（二）</w:t>
      </w:r>
      <w:r>
        <w:rPr>
          <w:rFonts w:hint="eastAsia" w:ascii="仿宋_GB2312" w:hAnsi="楷体" w:eastAsia="仿宋_GB2312"/>
          <w:kern w:val="0"/>
          <w:sz w:val="32"/>
          <w:szCs w:val="32"/>
          <w:lang w:eastAsia="zh-CN"/>
        </w:rPr>
        <w:t>负责</w:t>
      </w:r>
      <w:r>
        <w:rPr>
          <w:rFonts w:hint="eastAsia" w:ascii="仿宋_GB2312" w:hAnsi="楷体" w:eastAsia="仿宋_GB2312"/>
          <w:kern w:val="0"/>
          <w:sz w:val="32"/>
          <w:szCs w:val="32"/>
        </w:rPr>
        <w:t>党的意识形态工作，贯彻落实中央、省委、市委、县委关于意识形态工作</w:t>
      </w:r>
      <w:r>
        <w:rPr>
          <w:rFonts w:hint="eastAsia" w:ascii="仿宋_GB2312" w:hAnsi="楷体" w:eastAsia="仿宋_GB2312"/>
          <w:kern w:val="0"/>
          <w:sz w:val="32"/>
          <w:szCs w:val="32"/>
          <w:lang w:eastAsia="zh-CN"/>
        </w:rPr>
        <w:t>的</w:t>
      </w:r>
      <w:r>
        <w:rPr>
          <w:rFonts w:hint="eastAsia" w:ascii="仿宋_GB2312" w:hAnsi="楷体" w:eastAsia="仿宋_GB2312"/>
          <w:kern w:val="0"/>
          <w:sz w:val="32"/>
          <w:szCs w:val="32"/>
        </w:rPr>
        <w:t>决策部署，</w:t>
      </w:r>
      <w:r>
        <w:rPr>
          <w:rFonts w:hint="eastAsia" w:ascii="仿宋_GB2312" w:hAnsi="楷体" w:eastAsia="仿宋_GB2312"/>
          <w:kern w:val="0"/>
          <w:sz w:val="32"/>
          <w:szCs w:val="32"/>
          <w:lang w:eastAsia="zh-CN"/>
        </w:rPr>
        <w:t>负责</w:t>
      </w:r>
      <w:r>
        <w:rPr>
          <w:rFonts w:hint="eastAsia" w:ascii="仿宋_GB2312" w:hAnsi="楷体" w:eastAsia="仿宋_GB2312"/>
          <w:kern w:val="0"/>
          <w:sz w:val="32"/>
          <w:szCs w:val="32"/>
        </w:rPr>
        <w:t>意识形态工作责任制落实和日常监督检查，结合巡察工作开展专项检查。</w:t>
      </w:r>
    </w:p>
    <w:p>
      <w:pPr>
        <w:widowControl/>
        <w:spacing w:line="560" w:lineRule="exact"/>
        <w:ind w:firstLine="636"/>
        <w:rPr>
          <w:rFonts w:hint="eastAsia" w:ascii="仿宋_GB2312" w:hAnsi="楷体" w:eastAsia="仿宋_GB2312"/>
          <w:kern w:val="0"/>
          <w:sz w:val="32"/>
          <w:szCs w:val="32"/>
          <w:lang w:eastAsia="zh-CN"/>
        </w:rPr>
      </w:pPr>
      <w:r>
        <w:rPr>
          <w:rFonts w:hint="eastAsia" w:ascii="仿宋_GB2312" w:hAnsi="楷体" w:eastAsia="仿宋_GB2312"/>
          <w:kern w:val="0"/>
          <w:sz w:val="32"/>
          <w:szCs w:val="32"/>
        </w:rPr>
        <w:t>（三）</w:t>
      </w:r>
      <w:r>
        <w:rPr>
          <w:rFonts w:hint="eastAsia" w:ascii="仿宋_GB2312" w:hAnsi="楷体" w:eastAsia="仿宋_GB2312"/>
          <w:kern w:val="0"/>
          <w:sz w:val="32"/>
          <w:szCs w:val="32"/>
          <w:lang w:eastAsia="zh-CN"/>
        </w:rPr>
        <w:t>承担</w:t>
      </w:r>
      <w:r>
        <w:rPr>
          <w:rFonts w:hint="eastAsia" w:ascii="仿宋_GB2312" w:hAnsi="楷体" w:eastAsia="仿宋_GB2312"/>
          <w:kern w:val="0"/>
          <w:sz w:val="32"/>
          <w:szCs w:val="32"/>
        </w:rPr>
        <w:t>全县理论研究、理论学习、理论宣传、理论宣讲工作，组织推动理论武装工作，组织实施马克思主义理论研究和建设工程。</w:t>
      </w:r>
      <w:r>
        <w:rPr>
          <w:rFonts w:hint="eastAsia" w:ascii="仿宋_GB2312" w:hAnsi="楷体" w:eastAsia="仿宋_GB2312"/>
          <w:kern w:val="0"/>
          <w:sz w:val="32"/>
          <w:szCs w:val="32"/>
          <w:lang w:eastAsia="zh-CN"/>
        </w:rPr>
        <w:t>主管全县党史和地方志研究工作，承担有关行政职能。</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（四）负责规划组织全局性思想政治工作，配合县委组织部做好党员教育工作，</w:t>
      </w:r>
      <w:r>
        <w:rPr>
          <w:rFonts w:hint="eastAsia" w:ascii="仿宋_GB2312" w:hAnsi="楷体" w:eastAsia="仿宋_GB2312"/>
          <w:kern w:val="0"/>
          <w:sz w:val="32"/>
          <w:szCs w:val="32"/>
          <w:lang w:eastAsia="zh-CN"/>
        </w:rPr>
        <w:t>负责</w:t>
      </w:r>
      <w:r>
        <w:rPr>
          <w:rFonts w:hint="eastAsia" w:ascii="仿宋_GB2312" w:hAnsi="楷体" w:eastAsia="仿宋_GB2312"/>
          <w:kern w:val="0"/>
          <w:sz w:val="32"/>
          <w:szCs w:val="32"/>
        </w:rPr>
        <w:t>编写党员教育学习资料，会同有关部门研究和改进群众思想教育工作。</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（五）分析研判和引导社会舆论，组织全县突发公共事件应急新闻工作。</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六）拟定新闻出版业的管理政策并督促落实，管理新闻出版行政事务，组织协调有关行政审批工作，规划和指导新闻出版事业、产业发展，监督管理出版物内容和质量，监督管理印刷业，管理著作权等。组织指导协调全县“扫黄打非”工作，负责全县新闻记者证的管理。</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（七）</w:t>
      </w:r>
      <w:r>
        <w:rPr>
          <w:rFonts w:hint="eastAsia" w:ascii="仿宋_GB2312" w:hAnsi="楷体" w:eastAsia="仿宋_GB2312"/>
          <w:kern w:val="0"/>
          <w:sz w:val="32"/>
          <w:szCs w:val="32"/>
          <w:lang w:eastAsia="zh-CN"/>
        </w:rPr>
        <w:t>承担</w:t>
      </w:r>
      <w:r>
        <w:rPr>
          <w:rFonts w:hint="eastAsia" w:ascii="仿宋_GB2312" w:hAnsi="楷体" w:eastAsia="仿宋_GB2312"/>
          <w:kern w:val="0"/>
          <w:sz w:val="32"/>
          <w:szCs w:val="32"/>
        </w:rPr>
        <w:t>全县互联网宣传和信息内容管理工作。统筹协调全县数字新媒体的建设和管理。</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（八）</w:t>
      </w:r>
      <w:r>
        <w:rPr>
          <w:rFonts w:hint="eastAsia" w:ascii="仿宋_GB2312" w:hAnsi="楷体" w:eastAsia="仿宋_GB2312"/>
          <w:kern w:val="0"/>
          <w:sz w:val="32"/>
          <w:szCs w:val="32"/>
          <w:lang w:eastAsia="zh-CN"/>
        </w:rPr>
        <w:t>负责</w:t>
      </w:r>
      <w:r>
        <w:rPr>
          <w:rFonts w:hint="eastAsia" w:ascii="仿宋_GB2312" w:hAnsi="楷体" w:eastAsia="仿宋_GB2312"/>
          <w:kern w:val="0"/>
          <w:sz w:val="32"/>
          <w:szCs w:val="32"/>
        </w:rPr>
        <w:t>推动全县精神文化产品的创作和生产，</w:t>
      </w:r>
      <w:r>
        <w:rPr>
          <w:rFonts w:hint="eastAsia" w:ascii="仿宋_GB2312" w:hAnsi="楷体" w:eastAsia="仿宋_GB2312"/>
          <w:kern w:val="0"/>
          <w:sz w:val="32"/>
          <w:szCs w:val="32"/>
          <w:lang w:eastAsia="zh-CN"/>
        </w:rPr>
        <w:t>负责</w:t>
      </w:r>
      <w:r>
        <w:rPr>
          <w:rFonts w:hint="eastAsia" w:ascii="仿宋_GB2312" w:hAnsi="楷体" w:eastAsia="仿宋_GB2312"/>
          <w:kern w:val="0"/>
          <w:sz w:val="32"/>
          <w:szCs w:val="32"/>
        </w:rPr>
        <w:t>中华优秀传统文化传承发展有关工作，</w:t>
      </w:r>
      <w:r>
        <w:rPr>
          <w:rFonts w:hint="eastAsia" w:ascii="仿宋_GB2312" w:hAnsi="楷体" w:eastAsia="仿宋_GB2312"/>
          <w:kern w:val="0"/>
          <w:sz w:val="32"/>
          <w:szCs w:val="32"/>
          <w:lang w:eastAsia="zh-CN"/>
        </w:rPr>
        <w:t>负责</w:t>
      </w:r>
      <w:r>
        <w:rPr>
          <w:rFonts w:hint="eastAsia" w:ascii="仿宋_GB2312" w:hAnsi="楷体" w:eastAsia="仿宋_GB2312"/>
          <w:kern w:val="0"/>
          <w:sz w:val="32"/>
          <w:szCs w:val="32"/>
        </w:rPr>
        <w:t>推动群众文化建设。</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（九）负责管理全县电影行政事务，指导监管全县电影制片、发行、放映工作，组织对电影内容进行</w:t>
      </w:r>
      <w:r>
        <w:rPr>
          <w:rFonts w:hint="eastAsia" w:ascii="仿宋_GB2312" w:hAnsi="楷体" w:eastAsia="仿宋_GB2312"/>
          <w:kern w:val="0"/>
          <w:sz w:val="32"/>
          <w:szCs w:val="32"/>
          <w:lang w:eastAsia="zh-CN"/>
        </w:rPr>
        <w:t>审核</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承担</w:t>
      </w:r>
      <w:r>
        <w:rPr>
          <w:rFonts w:hint="eastAsia" w:ascii="仿宋_GB2312" w:hAnsi="楷体" w:eastAsia="仿宋_GB2312"/>
          <w:kern w:val="0"/>
          <w:sz w:val="32"/>
          <w:szCs w:val="32"/>
        </w:rPr>
        <w:t>全县性重大电影活动，承担全县电影领域的对外交流与合作。</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（十）对全县新闻出版、广播影视、文化艺术业改革发展研究提出政策性建议，</w:t>
      </w:r>
      <w:r>
        <w:rPr>
          <w:rFonts w:hint="eastAsia" w:ascii="仿宋_GB2312" w:hAnsi="楷体" w:eastAsia="仿宋_GB2312"/>
          <w:kern w:val="0"/>
          <w:sz w:val="32"/>
          <w:szCs w:val="32"/>
          <w:lang w:eastAsia="zh-CN"/>
        </w:rPr>
        <w:t>负责</w:t>
      </w:r>
      <w:r>
        <w:rPr>
          <w:rFonts w:hint="eastAsia" w:ascii="仿宋_GB2312" w:hAnsi="楷体" w:eastAsia="仿宋_GB2312"/>
          <w:kern w:val="0"/>
          <w:sz w:val="32"/>
          <w:szCs w:val="32"/>
        </w:rPr>
        <w:t>文化体制改革和文化事业、文化产业及旅游业发展，</w:t>
      </w:r>
      <w:r>
        <w:rPr>
          <w:rFonts w:hint="eastAsia" w:ascii="仿宋_GB2312" w:hAnsi="楷体" w:eastAsia="仿宋_GB2312"/>
          <w:kern w:val="0"/>
          <w:sz w:val="32"/>
          <w:szCs w:val="32"/>
          <w:lang w:eastAsia="zh-CN"/>
        </w:rPr>
        <w:t>负责</w:t>
      </w:r>
      <w:r>
        <w:rPr>
          <w:rFonts w:hint="eastAsia" w:ascii="仿宋_GB2312" w:hAnsi="楷体" w:eastAsia="仿宋_GB2312"/>
          <w:kern w:val="0"/>
          <w:sz w:val="32"/>
          <w:szCs w:val="32"/>
        </w:rPr>
        <w:t>国有文化资产监管工作</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承担县文化体制改革和发展工作领导小组办公室日常工作。</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eastAsia="zh-CN"/>
        </w:rPr>
        <w:t>负责协调</w:t>
      </w:r>
      <w:r>
        <w:rPr>
          <w:rFonts w:hint="eastAsia" w:ascii="仿宋_GB2312" w:hAnsi="楷体" w:eastAsia="仿宋_GB2312"/>
          <w:kern w:val="0"/>
          <w:sz w:val="32"/>
          <w:szCs w:val="32"/>
        </w:rPr>
        <w:t>全县舆情信息工作，组织协调开展舆情信息收集分析研判工作，跟踪了解、研究掌握宣传舆情动态。</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负责开展</w:t>
      </w:r>
      <w:r>
        <w:rPr>
          <w:rFonts w:hint="eastAsia" w:ascii="仿宋_GB2312" w:hAnsi="楷体" w:eastAsia="仿宋_GB2312"/>
          <w:kern w:val="0"/>
          <w:sz w:val="32"/>
          <w:szCs w:val="32"/>
        </w:rPr>
        <w:t>全县对外宣传工作，指导协调有关部门研究拟订全县对外宣传工作战略、重大方针政策和对外宣传事业发展总体规划。统筹对外文化交流工作。</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（十三）组织协调涉及港澳新闻宣传和舆论工作，协同有关部门开展涉台问题的宣传工作。</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eastAsia="zh-CN"/>
        </w:rPr>
        <w:t>四</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负责</w:t>
      </w:r>
      <w:r>
        <w:rPr>
          <w:rFonts w:hint="eastAsia" w:ascii="仿宋_GB2312" w:hAnsi="楷体" w:eastAsia="仿宋_GB2312"/>
          <w:kern w:val="0"/>
          <w:sz w:val="32"/>
          <w:szCs w:val="32"/>
        </w:rPr>
        <w:t>开展新闻发布工作，承担县委新闻发布有关组织协调工作，负责县政府新闻发布组织实施工作，指导协调县政府各部门</w:t>
      </w:r>
      <w:r>
        <w:rPr>
          <w:rFonts w:hint="eastAsia" w:ascii="仿宋_GB2312" w:hAnsi="楷体" w:eastAsia="仿宋_GB2312"/>
          <w:kern w:val="0"/>
          <w:sz w:val="32"/>
          <w:szCs w:val="32"/>
          <w:lang w:eastAsia="zh-CN"/>
        </w:rPr>
        <w:t>和各乡镇</w:t>
      </w:r>
      <w:r>
        <w:rPr>
          <w:rFonts w:hint="eastAsia" w:ascii="仿宋_GB2312" w:hAnsi="楷体" w:eastAsia="仿宋_GB2312"/>
          <w:kern w:val="0"/>
          <w:sz w:val="32"/>
          <w:szCs w:val="32"/>
        </w:rPr>
        <w:t>的新闻发布工作，推动新闻发言人制度建设。拟</w:t>
      </w:r>
      <w:r>
        <w:rPr>
          <w:rFonts w:hint="eastAsia" w:ascii="仿宋_GB2312" w:hAnsi="楷体" w:eastAsia="仿宋_GB2312"/>
          <w:kern w:val="0"/>
          <w:sz w:val="32"/>
          <w:szCs w:val="32"/>
          <w:lang w:eastAsia="zh-CN"/>
        </w:rPr>
        <w:t>订</w:t>
      </w:r>
      <w:r>
        <w:rPr>
          <w:rFonts w:hint="eastAsia" w:ascii="仿宋_GB2312" w:hAnsi="楷体" w:eastAsia="仿宋_GB2312"/>
          <w:kern w:val="0"/>
          <w:sz w:val="32"/>
          <w:szCs w:val="32"/>
        </w:rPr>
        <w:t>全县重大问题对外宣传ロ径。</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（十五）按照有关规定和程序，负责联系境外新闻管理机构、媒体和智库，会同有关部门做好境外来访记者采访事务方面的工作。负责组织开展新闻领域国际交流与合作。</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（十六）按照统一部署，负责人权宣传工作的组织协调，开展涉及西藏、新疆及反邪教等方面对外宣传和舆论斗争工作。</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eastAsia="zh-CN"/>
        </w:rPr>
        <w:t>七</w:t>
      </w:r>
      <w:r>
        <w:rPr>
          <w:rFonts w:hint="eastAsia" w:ascii="仿宋_GB2312" w:hAnsi="楷体" w:eastAsia="仿宋_GB2312"/>
          <w:kern w:val="0"/>
          <w:sz w:val="32"/>
          <w:szCs w:val="32"/>
        </w:rPr>
        <w:t>）负责全县有关重要宣传舆论阵地和重要岗位领导干部管理。负责组织开展全县宣传思想文化系统干部教育培训和人才工作。</w:t>
      </w:r>
    </w:p>
    <w:p>
      <w:pPr>
        <w:widowControl/>
        <w:spacing w:line="560" w:lineRule="exact"/>
        <w:ind w:firstLine="636"/>
        <w:rPr>
          <w:rFonts w:hint="eastAsia" w:ascii="仿宋_GB2312" w:hAnsi="楷体" w:eastAsia="仿宋_GB2312"/>
          <w:kern w:val="0"/>
          <w:sz w:val="32"/>
          <w:szCs w:val="32"/>
          <w:lang w:eastAsia="zh-CN"/>
        </w:rPr>
      </w:pPr>
      <w:r>
        <w:rPr>
          <w:rFonts w:hint="eastAsia" w:ascii="仿宋_GB2312" w:hAnsi="楷体" w:eastAsia="仿宋_GB2312"/>
          <w:kern w:val="0"/>
          <w:sz w:val="32"/>
          <w:szCs w:val="32"/>
        </w:rPr>
        <w:t>（十</w:t>
      </w:r>
      <w:r>
        <w:rPr>
          <w:rFonts w:hint="eastAsia" w:ascii="仿宋_GB2312" w:hAnsi="楷体" w:eastAsia="仿宋_GB2312"/>
          <w:kern w:val="0"/>
          <w:sz w:val="32"/>
          <w:szCs w:val="32"/>
          <w:lang w:eastAsia="zh-CN"/>
        </w:rPr>
        <w:t>八</w:t>
      </w:r>
      <w:r>
        <w:rPr>
          <w:rFonts w:hint="eastAsia" w:ascii="仿宋_GB2312" w:hAnsi="楷体" w:eastAsia="仿宋_GB2312"/>
          <w:kern w:val="0"/>
          <w:sz w:val="32"/>
          <w:szCs w:val="32"/>
        </w:rPr>
        <w:t>）对新闻、文化、出版</w:t>
      </w:r>
      <w:r>
        <w:rPr>
          <w:rFonts w:hint="eastAsia" w:ascii="仿宋_GB2312" w:hAnsi="楷体" w:eastAsia="仿宋_GB2312"/>
          <w:kern w:val="0"/>
          <w:sz w:val="32"/>
          <w:szCs w:val="32"/>
          <w:lang w:eastAsia="zh-CN"/>
        </w:rPr>
        <w:t>、社会科学、党史地方志研究等部门（单位）和</w:t>
      </w:r>
      <w:r>
        <w:rPr>
          <w:rFonts w:hint="eastAsia" w:ascii="仿宋_GB2312" w:hAnsi="楷体" w:eastAsia="仿宋_GB2312"/>
          <w:kern w:val="0"/>
          <w:sz w:val="32"/>
          <w:szCs w:val="32"/>
        </w:rPr>
        <w:t>有关人民团体的业务工作进行指导、协调、监督和服务，并在政治方向、方针政策以及重大业务工作方面实施领导。对县委网络安全和信息化委员会办公室（县互联网信息办公室）互联网宣传和信息内容管理方面的工作实施方针政策的指导。</w:t>
      </w:r>
      <w:r>
        <w:rPr>
          <w:rFonts w:hint="eastAsia" w:ascii="仿宋_GB2312" w:hAnsi="楷体" w:eastAsia="仿宋_GB2312"/>
          <w:kern w:val="0"/>
          <w:sz w:val="32"/>
          <w:szCs w:val="32"/>
          <w:lang w:eastAsia="zh-CN"/>
        </w:rPr>
        <w:t>归口领导县广播电视服务中心。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eastAsia="zh-CN"/>
        </w:rPr>
        <w:t>九</w:t>
      </w:r>
      <w:r>
        <w:rPr>
          <w:rFonts w:hint="eastAsia" w:ascii="仿宋_GB2312" w:hAnsi="楷体" w:eastAsia="仿宋_GB2312"/>
          <w:kern w:val="0"/>
          <w:sz w:val="32"/>
          <w:szCs w:val="32"/>
        </w:rPr>
        <w:t>）贯彻落实中央、省委、市委</w:t>
      </w:r>
      <w:r>
        <w:rPr>
          <w:rFonts w:hint="eastAsia" w:ascii="仿宋_GB2312" w:hAnsi="楷体" w:eastAsia="仿宋_GB2312"/>
          <w:kern w:val="0"/>
          <w:sz w:val="32"/>
          <w:szCs w:val="32"/>
          <w:lang w:eastAsia="zh-CN"/>
        </w:rPr>
        <w:t>、县委</w:t>
      </w:r>
      <w:r>
        <w:rPr>
          <w:rFonts w:hint="eastAsia" w:ascii="仿宋_GB2312" w:hAnsi="楷体" w:eastAsia="仿宋_GB2312"/>
          <w:kern w:val="0"/>
          <w:sz w:val="32"/>
          <w:szCs w:val="32"/>
        </w:rPr>
        <w:t>在精神文明建设方面的方针政策、决策部署，按照中央文明办、省文明办、市文明办、县文明委的工作安排，负责有关组织协调、督促落实工作。调查了解各地各部门贯彻落实中央、省委、市委</w:t>
      </w:r>
      <w:r>
        <w:rPr>
          <w:rFonts w:hint="eastAsia" w:ascii="仿宋_GB2312" w:hAnsi="楷体" w:eastAsia="仿宋_GB2312"/>
          <w:kern w:val="0"/>
          <w:sz w:val="32"/>
          <w:szCs w:val="32"/>
          <w:lang w:eastAsia="zh-CN"/>
        </w:rPr>
        <w:t>、县委</w:t>
      </w:r>
      <w:r>
        <w:rPr>
          <w:rFonts w:hint="eastAsia" w:ascii="仿宋_GB2312" w:hAnsi="楷体" w:eastAsia="仿宋_GB2312"/>
          <w:kern w:val="0"/>
          <w:sz w:val="32"/>
          <w:szCs w:val="32"/>
        </w:rPr>
        <w:t>关于精神文明建设的方针、政策情况，及时向县委和县文明委反映并提出建议，研究分析精神文明建设主要是思想道德和文化建设的新情况新问题，及时向县委和县文明委反映并提出建议。组织群众性精神文明创建活动</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建立志愿服务工作协调机制，对志愿服务工作进行统筹规划、协调指导、督促检查。指导协调公益广告活动</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树立宣传思想道德建设和文化建设的先进典型，总结推广交流先进经验。督促检查、组织协调各地各部门做好未成年人思想道德建设工作</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组织开展各种网络精神文明创建活动，加强网络精神文明建设。</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 xml:space="preserve"> （二十）</w:t>
      </w:r>
      <w:r>
        <w:rPr>
          <w:rFonts w:hint="eastAsia" w:ascii="仿宋_GB2312" w:hAnsi="楷体" w:eastAsia="仿宋_GB2312"/>
          <w:kern w:val="0"/>
          <w:sz w:val="32"/>
          <w:szCs w:val="32"/>
        </w:rPr>
        <w:t>负责处理县委网络安全和信息化委员会日常事务工作，协调督促有关方面落实委员会的决定事项、工作部署和要求</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组织开展对涉及全县政治、经济、文化、社会等各个领域的网络安全和信息化重大问题研究，向委员会提出工作建议。</w:t>
      </w:r>
      <w:r>
        <w:rPr>
          <w:rFonts w:hint="eastAsia" w:ascii="仿宋_GB2312" w:hAnsi="楷体" w:eastAsia="仿宋_GB2312"/>
          <w:kern w:val="0"/>
          <w:sz w:val="32"/>
          <w:szCs w:val="32"/>
          <w:lang w:eastAsia="zh-CN"/>
        </w:rPr>
        <w:t>组织研究起草全县网络安全和信息化发展战略、规划和政策。</w:t>
      </w:r>
      <w:r>
        <w:rPr>
          <w:rFonts w:hint="eastAsia" w:ascii="仿宋_GB2312" w:hAnsi="楷体" w:eastAsia="仿宋_GB2312"/>
          <w:kern w:val="0"/>
          <w:sz w:val="32"/>
          <w:szCs w:val="32"/>
        </w:rPr>
        <w:t>督促落实涉及全县政治、经济、文化、社会等各个领域网络安全和信息化重大事项</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负责协调处理全县网络安全和信息化重大突发事件与有关应急工作。负责协调全县网络舆情信息工作，组织开展网络舆情信息收集</w:t>
      </w:r>
      <w:r>
        <w:rPr>
          <w:rFonts w:hint="eastAsia" w:ascii="仿宋_GB2312" w:hAnsi="楷体" w:eastAsia="仿宋_GB2312"/>
          <w:kern w:val="0"/>
          <w:sz w:val="32"/>
          <w:szCs w:val="32"/>
          <w:lang w:eastAsia="zh-CN"/>
        </w:rPr>
        <w:t>和</w:t>
      </w:r>
      <w:r>
        <w:rPr>
          <w:rFonts w:hint="eastAsia" w:ascii="仿宋_GB2312" w:hAnsi="楷体" w:eastAsia="仿宋_GB2312"/>
          <w:kern w:val="0"/>
          <w:sz w:val="32"/>
          <w:szCs w:val="32"/>
        </w:rPr>
        <w:t>分析研判工作，跟踪了解和掌握网络舆情动态；依法规范县内互联网舆情服务市场。推动全县网络社会工作和网络文化、网络文明建设；发展、联系、服务互联网相关社会组织，指导互联网行业自律，推进网站党建工作。组织拟定全县网络安全和信息化干部人才队伍发展规划，组织开展网络安全和信息化干部教育培训和人才队伍建设，规划指导互联网新闻信息服务从业人员教育培训和考评工作，组织开展网络媒介素养教育。</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二十一</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完成</w:t>
      </w:r>
      <w:r>
        <w:rPr>
          <w:rFonts w:hint="eastAsia" w:ascii="仿宋_GB2312" w:hAnsi="楷体" w:eastAsia="仿宋_GB2312"/>
          <w:kern w:val="0"/>
          <w:sz w:val="32"/>
          <w:szCs w:val="32"/>
        </w:rPr>
        <w:t>县委交办的其</w:t>
      </w:r>
      <w:r>
        <w:rPr>
          <w:rFonts w:hint="eastAsia" w:ascii="仿宋_GB2312" w:hAnsi="楷体" w:eastAsia="仿宋_GB2312"/>
          <w:kern w:val="0"/>
          <w:sz w:val="32"/>
          <w:szCs w:val="32"/>
          <w:lang w:eastAsia="zh-CN"/>
        </w:rPr>
        <w:t>他工作</w:t>
      </w:r>
      <w:r>
        <w:rPr>
          <w:rFonts w:hint="eastAsia" w:ascii="仿宋_GB2312" w:hAnsi="楷体" w:eastAsia="仿宋_GB2312"/>
          <w:kern w:val="0"/>
          <w:sz w:val="32"/>
          <w:szCs w:val="32"/>
        </w:rPr>
        <w:t>。</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二十二</w:t>
      </w:r>
      <w:r>
        <w:rPr>
          <w:rFonts w:hint="eastAsia" w:ascii="仿宋_GB2312" w:hAnsi="楷体" w:eastAsia="仿宋_GB2312"/>
          <w:kern w:val="0"/>
          <w:sz w:val="32"/>
          <w:szCs w:val="32"/>
        </w:rPr>
        <w:t>）职能转变</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减少、下放具体的行政审批事项，加强事中事后监管和服务。加强推进公共服务和产业发展、推进体制机制改革、监督管理文化产品内容和质量、反侵权盗版，组织查处违法违规行为职责，转变管理理念，创新管理方式，充分发挥市场调节、社会监督和行业自律作用。</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二十三</w:t>
      </w:r>
      <w:r>
        <w:rPr>
          <w:rFonts w:hint="eastAsia" w:ascii="仿宋_GB2312" w:hAnsi="楷体" w:eastAsia="仿宋_GB2312"/>
          <w:kern w:val="0"/>
          <w:sz w:val="32"/>
          <w:szCs w:val="32"/>
        </w:rPr>
        <w:t>）有关职责分工。与县市场监督管理局的职责分工：有关著作权管理工作，按照国家和省、市</w:t>
      </w:r>
      <w:r>
        <w:rPr>
          <w:rFonts w:hint="eastAsia" w:ascii="仿宋_GB2312" w:hAnsi="楷体" w:eastAsia="仿宋_GB2312"/>
          <w:kern w:val="0"/>
          <w:sz w:val="32"/>
          <w:szCs w:val="32"/>
          <w:lang w:eastAsia="zh-CN"/>
        </w:rPr>
        <w:t>、县</w:t>
      </w:r>
      <w:r>
        <w:rPr>
          <w:rFonts w:hint="eastAsia" w:ascii="仿宋_GB2312" w:hAnsi="楷体" w:eastAsia="仿宋_GB2312"/>
          <w:kern w:val="0"/>
          <w:sz w:val="32"/>
          <w:szCs w:val="32"/>
        </w:rPr>
        <w:t>关于版权管理职能的规定分工执行。</w:t>
      </w:r>
    </w:p>
    <w:p>
      <w:pPr>
        <w:pageBreakBefore w:val="0"/>
        <w:widowControl w:val="0"/>
        <w:numPr>
          <w:ilvl w:val="0"/>
          <w:numId w:val="3"/>
        </w:numPr>
        <w:kinsoku/>
        <w:wordWrap/>
        <w:overflowPunct/>
        <w:topLinePunct w:val="0"/>
        <w:bidi w:val="0"/>
        <w:spacing w:line="600" w:lineRule="exact"/>
        <w:ind w:firstLine="64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pageBreakBefore w:val="0"/>
        <w:widowControl w:val="0"/>
        <w:numPr>
          <w:ilvl w:val="0"/>
          <w:numId w:val="4"/>
        </w:numPr>
        <w:kinsoku/>
        <w:wordWrap/>
        <w:overflowPunct/>
        <w:topLinePunct w:val="0"/>
        <w:bidi w:val="0"/>
        <w:spacing w:line="600" w:lineRule="exact"/>
        <w:ind w:firstLine="636"/>
        <w:jc w:val="both"/>
        <w:textAlignment w:val="auto"/>
        <w:rPr>
          <w:rFonts w:ascii="仿宋_GB2312" w:hAnsi="楷体" w:eastAsia="仿宋_GB2312"/>
          <w:kern w:val="0"/>
          <w:sz w:val="32"/>
          <w:szCs w:val="32"/>
        </w:rPr>
      </w:pPr>
      <w:r>
        <w:rPr>
          <w:rFonts w:hint="eastAsia" w:ascii="仿宋_GB2312" w:hAnsi="仿宋_GB2312" w:eastAsia="仿宋_GB2312" w:cs="仿宋_GB2312"/>
          <w:kern w:val="0"/>
          <w:sz w:val="32"/>
          <w:szCs w:val="32"/>
        </w:rPr>
        <w:t>根据部门职责分工，本部门内设机构包括</w:t>
      </w:r>
      <w:r>
        <w:rPr>
          <w:rFonts w:hint="eastAsia" w:ascii="仿宋_GB2312" w:hAnsi="仿宋_GB2312" w:eastAsia="仿宋_GB2312" w:cs="仿宋_GB2312"/>
          <w:kern w:val="0"/>
          <w:sz w:val="32"/>
          <w:szCs w:val="32"/>
          <w:lang w:eastAsia="zh-CN"/>
        </w:rPr>
        <w:t>办公室、</w:t>
      </w:r>
      <w:r>
        <w:rPr>
          <w:rFonts w:hint="eastAsia" w:ascii="仿宋_GB2312" w:hAnsi="仿宋_GB2312" w:eastAsia="仿宋_GB2312" w:cs="仿宋_GB2312"/>
          <w:color w:val="000000"/>
          <w:sz w:val="32"/>
          <w:szCs w:val="32"/>
        </w:rPr>
        <w:t>宣传教育股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精神文明建设</w:t>
      </w:r>
      <w:r>
        <w:rPr>
          <w:rFonts w:hint="eastAsia" w:ascii="仿宋_GB2312" w:hAnsi="仿宋_GB2312" w:eastAsia="仿宋_GB2312" w:cs="仿宋_GB2312"/>
          <w:color w:val="000000"/>
          <w:sz w:val="32"/>
          <w:szCs w:val="32"/>
          <w:lang w:eastAsia="zh-CN"/>
        </w:rPr>
        <w:t>股、</w:t>
      </w:r>
      <w:r>
        <w:rPr>
          <w:rFonts w:hint="eastAsia" w:ascii="仿宋_GB2312" w:hAnsi="仿宋_GB2312" w:eastAsia="仿宋_GB2312" w:cs="仿宋_GB2312"/>
          <w:color w:val="000000"/>
          <w:sz w:val="32"/>
          <w:szCs w:val="32"/>
        </w:rPr>
        <w:t>网信股</w:t>
      </w:r>
      <w:r>
        <w:rPr>
          <w:rFonts w:hint="eastAsia" w:ascii="仿宋_GB2312" w:hAnsi="仿宋_GB2312" w:eastAsia="仿宋_GB2312" w:cs="仿宋_GB2312"/>
          <w:kern w:val="0"/>
          <w:sz w:val="32"/>
          <w:szCs w:val="32"/>
        </w:rPr>
        <w:t>。</w:t>
      </w:r>
      <w:r>
        <w:rPr>
          <w:rFonts w:hint="eastAsia" w:ascii="仿宋_GB2312" w:hAnsi="楷体" w:eastAsia="仿宋_GB2312"/>
          <w:kern w:val="0"/>
          <w:sz w:val="32"/>
          <w:szCs w:val="32"/>
        </w:rPr>
        <w:t>本部门下属单位</w:t>
      </w:r>
      <w:r>
        <w:rPr>
          <w:rFonts w:hint="eastAsia" w:ascii="仿宋_GB2312" w:hAnsi="楷体" w:eastAsia="仿宋_GB2312"/>
          <w:kern w:val="0"/>
          <w:sz w:val="32"/>
          <w:szCs w:val="32"/>
          <w:lang w:val="en-US" w:eastAsia="zh-CN"/>
        </w:rPr>
        <w:t>包括襄汾县网络服务中心。</w:t>
      </w:r>
    </w:p>
    <w:p>
      <w:pPr>
        <w:pageBreakBefore w:val="0"/>
        <w:widowControl w:val="0"/>
        <w:kinsoku/>
        <w:wordWrap/>
        <w:overflowPunct/>
        <w:topLinePunct w:val="0"/>
        <w:bidi w:val="0"/>
        <w:spacing w:line="600" w:lineRule="exact"/>
        <w:ind w:firstLine="636"/>
        <w:jc w:val="both"/>
        <w:textAlignment w:val="auto"/>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家，</w:t>
      </w:r>
      <w:r>
        <w:rPr>
          <w:rFonts w:hint="eastAsia" w:ascii="仿宋_GB2312" w:hAnsi="楷体" w:eastAsia="仿宋_GB2312"/>
          <w:kern w:val="0"/>
          <w:sz w:val="32"/>
          <w:szCs w:val="32"/>
          <w:lang w:val="en-US" w:eastAsia="zh-CN"/>
        </w:rPr>
        <w:t>具体包括宣传部</w:t>
      </w:r>
      <w:r>
        <w:rPr>
          <w:rFonts w:hint="eastAsia" w:ascii="仿宋_GB2312" w:hAnsi="楷体" w:eastAsia="仿宋_GB2312"/>
          <w:kern w:val="0"/>
          <w:sz w:val="32"/>
          <w:szCs w:val="32"/>
        </w:rPr>
        <w:t>本级</w:t>
      </w:r>
      <w:r>
        <w:rPr>
          <w:rFonts w:hint="eastAsia" w:ascii="仿宋_GB2312" w:hAnsi="楷体" w:eastAsia="仿宋_GB2312"/>
          <w:kern w:val="0"/>
          <w:sz w:val="32"/>
          <w:szCs w:val="32"/>
          <w:lang w:val="en-US" w:eastAsia="zh-CN"/>
        </w:rPr>
        <w:t>和县网络服务中心，其中县网络服务中心不独立核算</w:t>
      </w:r>
      <w:r>
        <w:rPr>
          <w:rFonts w:hint="eastAsia" w:ascii="仿宋_GB2312" w:hAnsi="楷体" w:eastAsia="仿宋_GB2312"/>
          <w:kern w:val="0"/>
          <w:sz w:val="32"/>
          <w:szCs w:val="32"/>
        </w:rPr>
        <w:t>。</w:t>
      </w:r>
    </w:p>
    <w:p>
      <w:pPr>
        <w:pageBreakBefore w:val="0"/>
        <w:widowControl w:val="0"/>
        <w:numPr>
          <w:ilvl w:val="0"/>
          <w:numId w:val="3"/>
        </w:numPr>
        <w:kinsoku/>
        <w:wordWrap/>
        <w:overflowPunct/>
        <w:topLinePunct w:val="0"/>
        <w:bidi w:val="0"/>
        <w:spacing w:line="600" w:lineRule="exact"/>
        <w:ind w:firstLine="64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2021年部门主要工作任务及目标</w:t>
      </w:r>
    </w:p>
    <w:p>
      <w:pPr>
        <w:keepNext w:val="0"/>
        <w:keepLines w:val="0"/>
        <w:pageBreakBefore w:val="0"/>
        <w:widowControl w:val="0"/>
        <w:kinsoku/>
        <w:wordWrap/>
        <w:overflowPunct/>
        <w:topLinePunct w:val="0"/>
        <w:autoSpaceDE/>
        <w:autoSpaceDN/>
        <w:bidi w:val="0"/>
        <w:adjustRightInd/>
        <w:snapToGrid/>
        <w:spacing w:after="0" w:line="600" w:lineRule="exact"/>
        <w:ind w:firstLine="629"/>
        <w:jc w:val="both"/>
        <w:textAlignment w:val="auto"/>
        <w:rPr>
          <w:rFonts w:hint="eastAsia" w:ascii="仿宋_GB2312" w:hAnsi="楷体" w:eastAsia="仿宋_GB2312"/>
          <w:kern w:val="0"/>
          <w:sz w:val="32"/>
          <w:szCs w:val="32"/>
        </w:rPr>
      </w:pPr>
      <w:r>
        <w:rPr>
          <w:rFonts w:hint="eastAsia" w:ascii="仿宋_GB2312" w:eastAsia="仿宋_GB2312"/>
          <w:sz w:val="32"/>
          <w:szCs w:val="32"/>
        </w:rPr>
        <w:t>坚持以习近平新时代中国特色社会主义思想为指导，围绕中心、服务大局，认真贯彻落实</w:t>
      </w:r>
      <w:r>
        <w:rPr>
          <w:rFonts w:hint="eastAsia" w:ascii="仿宋_GB2312" w:hAnsi="仿宋_GB2312" w:eastAsia="仿宋_GB2312" w:cs="仿宋_GB2312"/>
          <w:color w:val="000000" w:themeColor="text1"/>
          <w:sz w:val="32"/>
          <w:szCs w:val="32"/>
          <w14:textFill>
            <w14:solidFill>
              <w14:schemeClr w14:val="tx1"/>
            </w14:solidFill>
          </w14:textFill>
        </w:rPr>
        <w:t>党的十九大和十九届二中、三中、四中、五中全会精神，</w:t>
      </w:r>
      <w:r>
        <w:rPr>
          <w:rFonts w:hint="eastAsia" w:ascii="仿宋_GB2312" w:eastAsia="仿宋_GB2312"/>
          <w:sz w:val="32"/>
          <w:szCs w:val="32"/>
        </w:rPr>
        <w:t>着眼疫情防控、安全生产、脱贫攻坚、民生事业等重点工作和任务，做好理论武装、舆论引导、精神文明建设、文化繁荣发展和意识形态责任制落实等各项工作，</w:t>
      </w:r>
      <w:r>
        <w:rPr>
          <w:rFonts w:hint="eastAsia" w:ascii="仿宋_GB2312" w:hAnsi="微软雅黑" w:eastAsia="仿宋_GB2312"/>
          <w:color w:val="000000" w:themeColor="text1"/>
          <w:sz w:val="32"/>
          <w:szCs w:val="32"/>
          <w14:textFill>
            <w14:solidFill>
              <w14:schemeClr w14:val="tx1"/>
            </w14:solidFill>
          </w14:textFill>
        </w:rPr>
        <w:t>落实好新形势下宣传思想工作举旗帜、聚民心、育新人、兴文化、展形象的使命任务，</w:t>
      </w:r>
      <w:r>
        <w:rPr>
          <w:rFonts w:hint="eastAsia" w:ascii="仿宋_GB2312" w:eastAsia="仿宋_GB2312"/>
          <w:sz w:val="32"/>
          <w:szCs w:val="32"/>
        </w:rPr>
        <w:t>凝聚起全县上下工作合力，进一步提振发展信心，增强发展动力，为襄汾转型发展蹚出新路做出贡献。</w:t>
      </w:r>
    </w:p>
    <w:p>
      <w:pPr>
        <w:pageBreakBefore w:val="0"/>
        <w:widowControl w:val="0"/>
        <w:numPr>
          <w:ilvl w:val="0"/>
          <w:numId w:val="0"/>
        </w:numPr>
        <w:kinsoku/>
        <w:wordWrap/>
        <w:overflowPunct/>
        <w:topLinePunct w:val="0"/>
        <w:bidi w:val="0"/>
        <w:spacing w:line="600" w:lineRule="exact"/>
        <w:jc w:val="both"/>
        <w:textAlignment w:val="auto"/>
        <w:rPr>
          <w:rFonts w:hint="default" w:ascii="仿宋_GB2312" w:hAnsi="楷体" w:eastAsia="仿宋_GB2312"/>
          <w:kern w:val="0"/>
          <w:sz w:val="32"/>
          <w:szCs w:val="32"/>
          <w:lang w:val="en-US" w:eastAsia="zh-CN"/>
        </w:rPr>
      </w:pPr>
    </w:p>
    <w:p>
      <w:pPr>
        <w:pageBreakBefore w:val="0"/>
        <w:widowControl w:val="0"/>
        <w:kinsoku/>
        <w:wordWrap/>
        <w:overflowPunct/>
        <w:topLinePunct w:val="0"/>
        <w:bidi w:val="0"/>
        <w:spacing w:line="600" w:lineRule="exact"/>
        <w:jc w:val="center"/>
        <w:textAlignment w:val="auto"/>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年度部门预算报表</w:t>
      </w:r>
    </w:p>
    <w:p>
      <w:pPr>
        <w:pageBreakBefore w:val="0"/>
        <w:widowControl w:val="0"/>
        <w:kinsoku/>
        <w:wordWrap/>
        <w:overflowPunct/>
        <w:topLinePunct w:val="0"/>
        <w:bidi w:val="0"/>
        <w:spacing w:line="600" w:lineRule="exact"/>
        <w:ind w:firstLine="640" w:firstLineChars="200"/>
        <w:jc w:val="both"/>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县委宣传部</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年预算收支总表</w:t>
      </w:r>
    </w:p>
    <w:p>
      <w:pPr>
        <w:pageBreakBefore w:val="0"/>
        <w:widowControl w:val="0"/>
        <w:kinsoku/>
        <w:wordWrap/>
        <w:overflowPunct/>
        <w:topLinePunct w:val="0"/>
        <w:bidi w:val="0"/>
        <w:spacing w:line="600" w:lineRule="exact"/>
        <w:ind w:firstLine="640" w:firstLineChars="200"/>
        <w:jc w:val="both"/>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县委宣传部</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pageBreakBefore w:val="0"/>
        <w:widowControl w:val="0"/>
        <w:kinsoku/>
        <w:wordWrap/>
        <w:overflowPunct/>
        <w:topLinePunct w:val="0"/>
        <w:bidi w:val="0"/>
        <w:spacing w:line="600" w:lineRule="exact"/>
        <w:ind w:firstLine="640" w:firstLineChars="200"/>
        <w:jc w:val="both"/>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县委宣传部</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pageBreakBefore w:val="0"/>
        <w:widowControl w:val="0"/>
        <w:kinsoku/>
        <w:wordWrap/>
        <w:overflowPunct/>
        <w:topLinePunct w:val="0"/>
        <w:bidi w:val="0"/>
        <w:spacing w:line="600" w:lineRule="exact"/>
        <w:ind w:firstLine="640" w:firstLineChars="200"/>
        <w:jc w:val="both"/>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县委宣传部</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pageBreakBefore w:val="0"/>
        <w:widowControl w:val="0"/>
        <w:kinsoku/>
        <w:wordWrap/>
        <w:overflowPunct/>
        <w:topLinePunct w:val="0"/>
        <w:bidi w:val="0"/>
        <w:spacing w:line="600" w:lineRule="exact"/>
        <w:ind w:firstLine="640" w:firstLineChars="200"/>
        <w:jc w:val="both"/>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县委宣传部</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pageBreakBefore w:val="0"/>
        <w:widowControl w:val="0"/>
        <w:kinsoku/>
        <w:wordWrap/>
        <w:overflowPunct/>
        <w:topLinePunct w:val="0"/>
        <w:bidi w:val="0"/>
        <w:spacing w:line="600" w:lineRule="exact"/>
        <w:ind w:firstLine="640" w:firstLineChars="200"/>
        <w:jc w:val="both"/>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县委宣传部</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pageBreakBefore w:val="0"/>
        <w:widowControl w:val="0"/>
        <w:kinsoku/>
        <w:wordWrap/>
        <w:overflowPunct/>
        <w:topLinePunct w:val="0"/>
        <w:bidi w:val="0"/>
        <w:spacing w:line="600" w:lineRule="exact"/>
        <w:ind w:firstLine="640" w:firstLineChars="200"/>
        <w:jc w:val="both"/>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县委宣传部</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pageBreakBefore w:val="0"/>
        <w:widowControl w:val="0"/>
        <w:kinsoku/>
        <w:wordWrap/>
        <w:overflowPunct/>
        <w:topLinePunct w:val="0"/>
        <w:bidi w:val="0"/>
        <w:spacing w:line="600" w:lineRule="exact"/>
        <w:ind w:firstLine="640" w:firstLineChars="200"/>
        <w:jc w:val="both"/>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县委宣传部</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pageBreakBefore w:val="0"/>
        <w:widowControl w:val="0"/>
        <w:kinsoku/>
        <w:wordWrap/>
        <w:overflowPunct/>
        <w:topLinePunct w:val="0"/>
        <w:bidi w:val="0"/>
        <w:spacing w:line="600" w:lineRule="exact"/>
        <w:ind w:firstLine="640" w:firstLineChars="200"/>
        <w:jc w:val="both"/>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县委宣传部</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年“三公”经费预算财政拨款情况表</w:t>
      </w:r>
    </w:p>
    <w:p>
      <w:pPr>
        <w:pageBreakBefore w:val="0"/>
        <w:widowControl w:val="0"/>
        <w:kinsoku/>
        <w:wordWrap/>
        <w:overflowPunct/>
        <w:topLinePunct w:val="0"/>
        <w:bidi w:val="0"/>
        <w:spacing w:line="600" w:lineRule="exact"/>
        <w:ind w:firstLine="640" w:firstLineChars="200"/>
        <w:jc w:val="both"/>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县委宣传部</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年机关运行经费</w:t>
      </w:r>
    </w:p>
    <w:p>
      <w:pPr>
        <w:pageBreakBefore w:val="0"/>
        <w:widowControl w:val="0"/>
        <w:kinsoku/>
        <w:wordWrap/>
        <w:overflowPunct/>
        <w:topLinePunct w:val="0"/>
        <w:bidi w:val="0"/>
        <w:spacing w:line="600" w:lineRule="exact"/>
        <w:ind w:firstLine="640" w:firstLineChars="200"/>
        <w:jc w:val="both"/>
        <w:textAlignment w:val="auto"/>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县委宣传部</w:t>
      </w:r>
      <w:r>
        <w:rPr>
          <w:rFonts w:hint="eastAsia"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仿宋" w:eastAsia="仿宋_GB2312" w:cs="宋体"/>
          <w:kern w:val="0"/>
          <w:sz w:val="32"/>
          <w:szCs w:val="32"/>
        </w:rPr>
        <w:t>政府采购支出预算表</w:t>
      </w:r>
    </w:p>
    <w:p>
      <w:pPr>
        <w:pageBreakBefore w:val="0"/>
        <w:widowControl w:val="0"/>
        <w:kinsoku/>
        <w:wordWrap/>
        <w:overflowPunct/>
        <w:topLinePunct w:val="0"/>
        <w:bidi w:val="0"/>
        <w:spacing w:line="600" w:lineRule="exact"/>
        <w:ind w:firstLine="640" w:firstLineChars="200"/>
        <w:jc w:val="both"/>
        <w:textAlignment w:val="auto"/>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val="en-US" w:eastAsia="zh-CN"/>
        </w:rPr>
        <w:t>县委宣传部</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年项目支出绩效目标表</w:t>
      </w:r>
    </w:p>
    <w:p>
      <w:pPr>
        <w:pageBreakBefore w:val="0"/>
        <w:widowControl w:val="0"/>
        <w:kinsoku/>
        <w:wordWrap/>
        <w:overflowPunct/>
        <w:topLinePunct w:val="0"/>
        <w:bidi w:val="0"/>
        <w:spacing w:line="600" w:lineRule="exact"/>
        <w:ind w:firstLine="640" w:firstLineChars="200"/>
        <w:jc w:val="both"/>
        <w:textAlignment w:val="auto"/>
        <w:rPr>
          <w:rFonts w:hint="default" w:ascii="仿宋_GB2312" w:hAnsi="宋体" w:eastAsia="仿宋_GB2312" w:cs="Times New Roman"/>
          <w:sz w:val="32"/>
          <w:szCs w:val="32"/>
          <w:lang w:val="en-US" w:eastAsia="zh-CN"/>
        </w:rPr>
      </w:pPr>
    </w:p>
    <w:p>
      <w:pPr>
        <w:pageBreakBefore w:val="0"/>
        <w:widowControl w:val="0"/>
        <w:kinsoku/>
        <w:wordWrap/>
        <w:overflowPunct/>
        <w:topLinePunct w:val="0"/>
        <w:bidi w:val="0"/>
        <w:spacing w:line="600" w:lineRule="exact"/>
        <w:jc w:val="center"/>
        <w:textAlignment w:val="auto"/>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年度部门预算情况说明</w:t>
      </w:r>
    </w:p>
    <w:p>
      <w:pPr>
        <w:pageBreakBefore w:val="0"/>
        <w:widowControl w:val="0"/>
        <w:numPr>
          <w:ilvl w:val="-1"/>
          <w:numId w:val="0"/>
        </w:numPr>
        <w:kinsoku/>
        <w:wordWrap/>
        <w:overflowPunct/>
        <w:topLinePunct w:val="0"/>
        <w:bidi w:val="0"/>
        <w:spacing w:line="600" w:lineRule="exact"/>
        <w:ind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pageBreakBefore w:val="0"/>
        <w:widowControl w:val="0"/>
        <w:kinsoku/>
        <w:wordWrap/>
        <w:overflowPunct/>
        <w:topLinePunct w:val="0"/>
        <w:bidi w:val="0"/>
        <w:spacing w:line="600" w:lineRule="exact"/>
        <w:ind w:firstLine="640"/>
        <w:jc w:val="both"/>
        <w:textAlignment w:val="auto"/>
        <w:rPr>
          <w:rFonts w:ascii="仿宋_GB2312" w:hAnsi="楷体" w:eastAsia="仿宋_GB2312"/>
          <w:kern w:val="0"/>
          <w:sz w:val="32"/>
          <w:szCs w:val="32"/>
        </w:rPr>
      </w:pPr>
      <w:r>
        <w:rPr>
          <w:rFonts w:hint="eastAsia" w:ascii="仿宋_GB2312" w:hAnsi="楷体" w:eastAsia="仿宋_GB2312"/>
          <w:kern w:val="0"/>
          <w:sz w:val="32"/>
          <w:szCs w:val="32"/>
          <w:u w:val="none"/>
          <w:lang w:val="en-US" w:eastAsia="zh-CN"/>
        </w:rPr>
        <w:t>县委宣传部</w:t>
      </w:r>
      <w:r>
        <w:rPr>
          <w:rFonts w:ascii="仿宋_GB2312" w:hAnsi="楷体" w:eastAsia="仿宋_GB2312"/>
          <w:kern w:val="0"/>
          <w:sz w:val="32"/>
          <w:szCs w:val="32"/>
        </w:rPr>
        <w:t>202</w:t>
      </w:r>
      <w:r>
        <w:rPr>
          <w:rFonts w:hint="eastAsia" w:ascii="仿宋_GB2312" w:hAnsi="楷体" w:eastAsia="仿宋_GB2312"/>
          <w:kern w:val="0"/>
          <w:sz w:val="32"/>
          <w:szCs w:val="32"/>
        </w:rPr>
        <w:t>1年度收入、支出预算总计</w:t>
      </w:r>
      <w:r>
        <w:rPr>
          <w:rFonts w:hint="eastAsia" w:ascii="仿宋_GB2312" w:hAnsi="楷体" w:eastAsia="仿宋_GB2312"/>
          <w:i w:val="0"/>
          <w:iCs w:val="0"/>
          <w:kern w:val="0"/>
          <w:sz w:val="32"/>
          <w:szCs w:val="32"/>
          <w:u w:val="none"/>
          <w:lang w:val="en-US" w:eastAsia="zh-CN"/>
        </w:rPr>
        <w:t>728.25</w:t>
      </w:r>
      <w:r>
        <w:rPr>
          <w:rFonts w:hint="eastAsia" w:ascii="仿宋_GB2312" w:hAnsi="楷体" w:eastAsia="仿宋_GB2312"/>
          <w:kern w:val="0"/>
          <w:sz w:val="32"/>
          <w:szCs w:val="32"/>
        </w:rPr>
        <w:t>万元，与上年相比收、支预算总计各增加</w:t>
      </w:r>
      <w:r>
        <w:rPr>
          <w:rFonts w:hint="eastAsia" w:ascii="仿宋_GB2312" w:hAnsi="楷体" w:eastAsia="仿宋_GB2312"/>
          <w:kern w:val="0"/>
          <w:sz w:val="32"/>
          <w:szCs w:val="32"/>
          <w:lang w:val="en-US" w:eastAsia="zh-CN"/>
        </w:rPr>
        <w:t>107.47</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17.3</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pageBreakBefore w:val="0"/>
        <w:widowControl w:val="0"/>
        <w:kinsoku/>
        <w:wordWrap/>
        <w:overflowPunct/>
        <w:topLinePunct w:val="0"/>
        <w:bidi w:val="0"/>
        <w:spacing w:line="600" w:lineRule="exact"/>
        <w:ind w:firstLine="640"/>
        <w:jc w:val="both"/>
        <w:textAlignment w:val="auto"/>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i w:val="0"/>
          <w:iCs w:val="0"/>
          <w:kern w:val="0"/>
          <w:sz w:val="32"/>
          <w:szCs w:val="32"/>
          <w:u w:val="none"/>
          <w:lang w:val="en-US" w:eastAsia="zh-CN"/>
        </w:rPr>
        <w:t>728.25</w:t>
      </w:r>
      <w:r>
        <w:rPr>
          <w:rFonts w:hint="eastAsia" w:ascii="仿宋_GB2312" w:hAnsi="楷体" w:eastAsia="仿宋_GB2312"/>
          <w:kern w:val="0"/>
          <w:sz w:val="32"/>
          <w:szCs w:val="32"/>
        </w:rPr>
        <w:t>万元。包括：</w:t>
      </w:r>
    </w:p>
    <w:p>
      <w:pPr>
        <w:pageBreakBefore w:val="0"/>
        <w:widowControl w:val="0"/>
        <w:kinsoku/>
        <w:wordWrap/>
        <w:overflowPunct/>
        <w:topLinePunct w:val="0"/>
        <w:bidi w:val="0"/>
        <w:spacing w:line="600" w:lineRule="exact"/>
        <w:ind w:firstLine="640"/>
        <w:jc w:val="both"/>
        <w:textAlignment w:val="auto"/>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i w:val="0"/>
          <w:iCs w:val="0"/>
          <w:kern w:val="0"/>
          <w:sz w:val="32"/>
          <w:szCs w:val="32"/>
          <w:u w:val="none"/>
          <w:lang w:val="en-US" w:eastAsia="zh-CN"/>
        </w:rPr>
        <w:t>728.25</w:t>
      </w:r>
      <w:r>
        <w:rPr>
          <w:rFonts w:hint="eastAsia" w:ascii="仿宋_GB2312" w:hAnsi="楷体" w:eastAsia="仿宋_GB2312"/>
          <w:kern w:val="0"/>
          <w:sz w:val="32"/>
          <w:szCs w:val="32"/>
        </w:rPr>
        <w:t>万元。</w:t>
      </w:r>
    </w:p>
    <w:p>
      <w:pPr>
        <w:pageBreakBefore w:val="0"/>
        <w:widowControl w:val="0"/>
        <w:kinsoku/>
        <w:wordWrap/>
        <w:overflowPunct/>
        <w:topLinePunct w:val="0"/>
        <w:bidi w:val="0"/>
        <w:spacing w:line="600" w:lineRule="exact"/>
        <w:ind w:firstLine="640"/>
        <w:jc w:val="both"/>
        <w:textAlignment w:val="auto"/>
        <w:rPr>
          <w:rFonts w:hint="default" w:ascii="仿宋_GB2312" w:hAnsi="楷体" w:eastAsia="仿宋_GB2312"/>
          <w:kern w:val="0"/>
          <w:sz w:val="32"/>
          <w:szCs w:val="32"/>
          <w:lang w:val="en-US"/>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i w:val="0"/>
          <w:iCs w:val="0"/>
          <w:kern w:val="0"/>
          <w:sz w:val="32"/>
          <w:szCs w:val="32"/>
          <w:u w:val="none"/>
          <w:lang w:val="en-US" w:eastAsia="zh-CN"/>
        </w:rPr>
        <w:t>728.25</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107.47</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17.3</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增加了农家书屋建设中央和省级配套、庆祝建党100周年宣传文化系列活动的支出、党报党刊预算、新时代文明实践中心活动经费和文明单位奖金等。</w:t>
      </w:r>
    </w:p>
    <w:p>
      <w:pPr>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无</w:t>
      </w:r>
      <w:r>
        <w:rPr>
          <w:rFonts w:hint="eastAsia" w:ascii="仿宋_GB2312" w:hAnsi="楷体" w:eastAsia="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：无</w:t>
      </w:r>
      <w:r>
        <w:rPr>
          <w:rFonts w:hint="eastAsia" w:ascii="仿宋_GB2312" w:hAnsi="楷体" w:eastAsia="仿宋_GB2312"/>
          <w:kern w:val="0"/>
          <w:sz w:val="32"/>
          <w:szCs w:val="32"/>
        </w:rPr>
        <w:t>。</w:t>
      </w:r>
    </w:p>
    <w:p>
      <w:pPr>
        <w:pageBreakBefore w:val="0"/>
        <w:widowControl w:val="0"/>
        <w:kinsoku/>
        <w:wordWrap/>
        <w:overflowPunct/>
        <w:topLinePunct w:val="0"/>
        <w:bidi w:val="0"/>
        <w:spacing w:line="600" w:lineRule="exact"/>
        <w:ind w:firstLine="640"/>
        <w:jc w:val="both"/>
        <w:textAlignment w:val="auto"/>
        <w:rPr>
          <w:rFonts w:ascii="仿宋_GB2312" w:hAnsi="楷体" w:eastAsia="仿宋_GB2312"/>
          <w:kern w:val="0"/>
          <w:sz w:val="32"/>
          <w:szCs w:val="32"/>
          <w:highlight w:val="none"/>
        </w:rPr>
      </w:pPr>
      <w:r>
        <w:rPr>
          <w:rFonts w:hint="eastAsia" w:ascii="仿宋_GB2312" w:hAnsi="楷体" w:eastAsia="仿宋_GB2312"/>
          <w:kern w:val="0"/>
          <w:sz w:val="32"/>
          <w:szCs w:val="32"/>
          <w:highlight w:val="none"/>
        </w:rPr>
        <w:t>3.国有资本经营收入预算总计</w:t>
      </w:r>
      <w:r>
        <w:rPr>
          <w:rFonts w:hint="eastAsia" w:ascii="仿宋_GB2312" w:hAnsi="楷体" w:eastAsia="仿宋_GB2312"/>
          <w:kern w:val="0"/>
          <w:sz w:val="32"/>
          <w:szCs w:val="32"/>
          <w:highlight w:val="none"/>
          <w:u w:val="none"/>
          <w:lang w:val="en-US" w:eastAsia="zh-CN"/>
        </w:rPr>
        <w:t>0</w:t>
      </w:r>
      <w:r>
        <w:rPr>
          <w:rFonts w:hint="eastAsia" w:ascii="仿宋_GB2312" w:hAnsi="楷体" w:eastAsia="仿宋_GB2312"/>
          <w:kern w:val="0"/>
          <w:sz w:val="32"/>
          <w:szCs w:val="32"/>
          <w:highlight w:val="none"/>
        </w:rPr>
        <w:t>万元。与上年相比增加（减少）</w:t>
      </w:r>
      <w:r>
        <w:rPr>
          <w:rFonts w:hint="eastAsia" w:ascii="仿宋_GB2312" w:hAnsi="楷体" w:eastAsia="仿宋_GB2312"/>
          <w:kern w:val="0"/>
          <w:sz w:val="32"/>
          <w:szCs w:val="32"/>
          <w:highlight w:val="none"/>
          <w:u w:val="none"/>
          <w:lang w:val="en-US" w:eastAsia="zh-CN"/>
        </w:rPr>
        <w:t>0</w:t>
      </w:r>
      <w:r>
        <w:rPr>
          <w:rFonts w:hint="eastAsia" w:ascii="仿宋_GB2312" w:hAnsi="楷体" w:eastAsia="仿宋_GB2312"/>
          <w:kern w:val="0"/>
          <w:sz w:val="32"/>
          <w:szCs w:val="32"/>
          <w:highlight w:val="none"/>
        </w:rPr>
        <w:t>万元，增长（减少）</w:t>
      </w:r>
      <w:r>
        <w:rPr>
          <w:rFonts w:hint="eastAsia" w:ascii="仿宋_GB2312" w:hAnsi="楷体" w:eastAsia="仿宋_GB2312"/>
          <w:kern w:val="0"/>
          <w:sz w:val="32"/>
          <w:szCs w:val="32"/>
          <w:highlight w:val="none"/>
          <w:u w:val="none"/>
          <w:lang w:val="en-US" w:eastAsia="zh-CN"/>
        </w:rPr>
        <w:t>0</w:t>
      </w:r>
      <w:r>
        <w:rPr>
          <w:rFonts w:ascii="仿宋_GB2312" w:hAnsi="楷体" w:eastAsia="仿宋_GB2312"/>
          <w:kern w:val="0"/>
          <w:sz w:val="32"/>
          <w:szCs w:val="32"/>
          <w:highlight w:val="none"/>
        </w:rPr>
        <w:t>%</w:t>
      </w:r>
      <w:r>
        <w:rPr>
          <w:rFonts w:hint="eastAsia" w:ascii="仿宋_GB2312" w:hAnsi="楷体" w:eastAsia="仿宋_GB2312"/>
          <w:kern w:val="0"/>
          <w:sz w:val="32"/>
          <w:szCs w:val="32"/>
          <w:highlight w:val="none"/>
        </w:rPr>
        <w:t>。主要原因</w:t>
      </w:r>
      <w:r>
        <w:rPr>
          <w:rFonts w:hint="eastAsia" w:ascii="仿宋_GB2312" w:hAnsi="楷体" w:eastAsia="仿宋_GB2312"/>
          <w:kern w:val="0"/>
          <w:sz w:val="32"/>
          <w:szCs w:val="32"/>
          <w:highlight w:val="none"/>
          <w:lang w:eastAsia="zh-CN"/>
        </w:rPr>
        <w:t>：无</w:t>
      </w:r>
      <w:r>
        <w:rPr>
          <w:rFonts w:hint="eastAsia" w:ascii="仿宋_GB2312" w:hAnsi="楷体" w:eastAsia="仿宋_GB2312"/>
          <w:kern w:val="0"/>
          <w:sz w:val="32"/>
          <w:szCs w:val="32"/>
          <w:highlight w:val="none"/>
        </w:rPr>
        <w:t>。</w:t>
      </w:r>
    </w:p>
    <w:p>
      <w:pPr>
        <w:pageBreakBefore w:val="0"/>
        <w:widowControl w:val="0"/>
        <w:kinsoku/>
        <w:wordWrap/>
        <w:overflowPunct/>
        <w:topLinePunct w:val="0"/>
        <w:bidi w:val="0"/>
        <w:spacing w:line="600" w:lineRule="exact"/>
        <w:ind w:firstLine="640"/>
        <w:jc w:val="both"/>
        <w:textAlignment w:val="auto"/>
        <w:rPr>
          <w:rFonts w:ascii="仿宋_GB2312" w:hAnsi="楷体" w:eastAsia="仿宋_GB2312"/>
          <w:kern w:val="0"/>
          <w:sz w:val="32"/>
          <w:szCs w:val="32"/>
          <w:highlight w:val="none"/>
        </w:rPr>
      </w:pPr>
      <w:r>
        <w:rPr>
          <w:rFonts w:hint="eastAsia" w:ascii="仿宋_GB2312" w:hAnsi="楷体" w:eastAsia="仿宋_GB2312"/>
          <w:kern w:val="0"/>
          <w:sz w:val="32"/>
          <w:szCs w:val="32"/>
          <w:highlight w:val="none"/>
        </w:rPr>
        <w:t>4．其他资金收入预算总计</w:t>
      </w:r>
      <w:r>
        <w:rPr>
          <w:rFonts w:hint="eastAsia" w:ascii="仿宋_GB2312" w:hAnsi="楷体" w:eastAsia="仿宋_GB2312"/>
          <w:kern w:val="0"/>
          <w:sz w:val="32"/>
          <w:szCs w:val="32"/>
          <w:highlight w:val="none"/>
          <w:u w:val="none"/>
          <w:lang w:val="en-US" w:eastAsia="zh-CN"/>
        </w:rPr>
        <w:t>0</w:t>
      </w:r>
      <w:r>
        <w:rPr>
          <w:rFonts w:hint="eastAsia" w:ascii="仿宋_GB2312" w:hAnsi="楷体" w:eastAsia="仿宋_GB2312"/>
          <w:kern w:val="0"/>
          <w:sz w:val="32"/>
          <w:szCs w:val="32"/>
          <w:highlight w:val="none"/>
        </w:rPr>
        <w:t>万元。与上年相比增加（减少）</w:t>
      </w:r>
      <w:r>
        <w:rPr>
          <w:rFonts w:hint="eastAsia" w:ascii="仿宋_GB2312" w:hAnsi="楷体" w:eastAsia="仿宋_GB2312"/>
          <w:kern w:val="0"/>
          <w:sz w:val="32"/>
          <w:szCs w:val="32"/>
          <w:highlight w:val="none"/>
          <w:u w:val="none"/>
          <w:lang w:val="en-US" w:eastAsia="zh-CN"/>
        </w:rPr>
        <w:t>0</w:t>
      </w:r>
      <w:r>
        <w:rPr>
          <w:rFonts w:hint="eastAsia" w:ascii="仿宋_GB2312" w:hAnsi="楷体" w:eastAsia="仿宋_GB2312"/>
          <w:kern w:val="0"/>
          <w:sz w:val="32"/>
          <w:szCs w:val="32"/>
          <w:highlight w:val="none"/>
        </w:rPr>
        <w:t>万元，增长（减少）</w:t>
      </w:r>
      <w:r>
        <w:rPr>
          <w:rFonts w:hint="eastAsia" w:ascii="仿宋_GB2312" w:hAnsi="楷体" w:eastAsia="仿宋_GB2312"/>
          <w:kern w:val="0"/>
          <w:sz w:val="32"/>
          <w:szCs w:val="32"/>
          <w:highlight w:val="none"/>
          <w:u w:val="none"/>
          <w:lang w:val="en-US" w:eastAsia="zh-CN"/>
        </w:rPr>
        <w:t>0</w:t>
      </w:r>
      <w:r>
        <w:rPr>
          <w:rFonts w:ascii="仿宋_GB2312" w:hAnsi="楷体" w:eastAsia="仿宋_GB2312"/>
          <w:kern w:val="0"/>
          <w:sz w:val="32"/>
          <w:szCs w:val="32"/>
          <w:highlight w:val="none"/>
        </w:rPr>
        <w:t>%</w:t>
      </w:r>
      <w:r>
        <w:rPr>
          <w:rFonts w:hint="eastAsia" w:ascii="仿宋_GB2312" w:hAnsi="楷体" w:eastAsia="仿宋_GB2312"/>
          <w:kern w:val="0"/>
          <w:sz w:val="32"/>
          <w:szCs w:val="32"/>
          <w:highlight w:val="none"/>
        </w:rPr>
        <w:t>。主要原因是</w:t>
      </w:r>
      <w:r>
        <w:rPr>
          <w:rFonts w:hint="eastAsia" w:ascii="仿宋_GB2312" w:hAnsi="楷体" w:eastAsia="仿宋_GB2312"/>
          <w:kern w:val="0"/>
          <w:sz w:val="32"/>
          <w:szCs w:val="32"/>
          <w:highlight w:val="none"/>
          <w:lang w:eastAsia="zh-CN"/>
        </w:rPr>
        <w:t>：无</w:t>
      </w:r>
      <w:r>
        <w:rPr>
          <w:rFonts w:hint="eastAsia" w:ascii="仿宋_GB2312" w:hAnsi="楷体" w:eastAsia="仿宋_GB2312"/>
          <w:kern w:val="0"/>
          <w:sz w:val="32"/>
          <w:szCs w:val="32"/>
          <w:highlight w:val="none"/>
        </w:rPr>
        <w:t>。</w:t>
      </w:r>
    </w:p>
    <w:p>
      <w:pPr>
        <w:pageBreakBefore w:val="0"/>
        <w:widowControl w:val="0"/>
        <w:kinsoku/>
        <w:wordWrap/>
        <w:overflowPunct/>
        <w:topLinePunct w:val="0"/>
        <w:bidi w:val="0"/>
        <w:spacing w:line="600" w:lineRule="exact"/>
        <w:ind w:firstLine="640" w:firstLineChars="200"/>
        <w:jc w:val="both"/>
        <w:textAlignment w:val="auto"/>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hint="eastAsia" w:ascii="仿宋_GB2312" w:hAnsi="楷体" w:eastAsia="仿宋_GB2312"/>
          <w:kern w:val="0"/>
          <w:sz w:val="32"/>
          <w:szCs w:val="32"/>
          <w:lang w:val="en-US" w:eastAsia="zh-CN"/>
        </w:rPr>
        <w:t>728.25</w:t>
      </w:r>
      <w:r>
        <w:rPr>
          <w:rFonts w:hint="eastAsia" w:ascii="仿宋_GB2312" w:hAnsi="楷体" w:eastAsia="仿宋_GB2312"/>
          <w:kern w:val="0"/>
          <w:sz w:val="32"/>
          <w:szCs w:val="32"/>
        </w:rPr>
        <w:t>万元。包括：</w:t>
      </w:r>
    </w:p>
    <w:p>
      <w:pPr>
        <w:pageBreakBefore w:val="0"/>
        <w:widowControl w:val="0"/>
        <w:kinsoku/>
        <w:wordWrap/>
        <w:overflowPunct/>
        <w:topLinePunct w:val="0"/>
        <w:bidi w:val="0"/>
        <w:spacing w:line="600" w:lineRule="exact"/>
        <w:ind w:firstLine="640"/>
        <w:jc w:val="both"/>
        <w:textAlignment w:val="auto"/>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hint="eastAsia" w:ascii="仿宋_GB2312" w:hAnsi="楷体" w:eastAsia="仿宋_GB2312"/>
          <w:kern w:val="0"/>
          <w:sz w:val="32"/>
          <w:szCs w:val="32"/>
          <w:u w:val="none"/>
          <w:lang w:val="en-US" w:eastAsia="zh-CN"/>
        </w:rPr>
        <w:t>583.23</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宣传思想文化日常工作</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lang w:val="en-US" w:eastAsia="zh-CN"/>
        </w:rPr>
        <w:t>57.5</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10.94</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增加了农家书屋建设中央和省级配套、庆祝建党100周年宣传文化系列活动的支出、党报党刊预算、新时代文明实践中心活动经费和文明单位奖金等。</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ascii="仿宋_GB2312" w:hAnsi="楷体" w:eastAsia="仿宋_GB2312"/>
          <w:kern w:val="0"/>
          <w:sz w:val="32"/>
          <w:szCs w:val="32"/>
        </w:rPr>
        <w:t>2</w:t>
      </w:r>
      <w:r>
        <w:rPr>
          <w:rFonts w:hint="eastAsia" w:ascii="仿宋_GB2312" w:hAnsi="楷体" w:eastAsia="仿宋_GB2312"/>
          <w:kern w:val="0"/>
          <w:sz w:val="32"/>
          <w:szCs w:val="32"/>
        </w:rPr>
        <w:t>．</w:t>
      </w:r>
      <w:r>
        <w:rPr>
          <w:rFonts w:hint="eastAsia" w:ascii="仿宋_GB2312" w:hAnsi="仿宋_GB2312" w:eastAsia="仿宋_GB2312" w:cs="仿宋_GB2312"/>
          <w:spacing w:val="0"/>
          <w:kern w:val="0"/>
          <w:sz w:val="32"/>
          <w:szCs w:val="32"/>
          <w:u w:val="none"/>
        </w:rPr>
        <w:t>公共安全（类）支出</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万元，与上年</w:t>
      </w:r>
      <w:r>
        <w:rPr>
          <w:rFonts w:hint="eastAsia" w:ascii="仿宋_GB2312" w:hAnsi="仿宋_GB2312" w:eastAsia="仿宋_GB2312" w:cs="仿宋_GB2312"/>
          <w:spacing w:val="0"/>
          <w:kern w:val="0"/>
          <w:sz w:val="32"/>
          <w:szCs w:val="32"/>
          <w:u w:val="none"/>
          <w:lang w:val="en-US" w:eastAsia="zh-CN"/>
        </w:rPr>
        <w:t>预算数相同</w:t>
      </w:r>
      <w:r>
        <w:rPr>
          <w:rFonts w:hint="eastAsia" w:ascii="仿宋_GB2312" w:hAnsi="仿宋_GB2312" w:eastAsia="仿宋_GB2312" w:cs="仿宋_GB2312"/>
          <w:spacing w:val="0"/>
          <w:kern w:val="0"/>
          <w:sz w:val="32"/>
          <w:szCs w:val="32"/>
          <w:u w:val="none"/>
        </w:rPr>
        <w:t>。</w:t>
      </w:r>
    </w:p>
    <w:p>
      <w:pPr>
        <w:pageBreakBefore w:val="0"/>
        <w:widowControl w:val="0"/>
        <w:kinsoku/>
        <w:wordWrap/>
        <w:overflowPunct/>
        <w:topLinePunct w:val="0"/>
        <w:bidi w:val="0"/>
        <w:spacing w:line="600" w:lineRule="exact"/>
        <w:ind w:firstLine="640"/>
        <w:jc w:val="both"/>
        <w:textAlignment w:val="auto"/>
        <w:rPr>
          <w:rFonts w:hint="default" w:ascii="仿宋_GB2312" w:hAnsi="仿宋_GB2312" w:eastAsia="仿宋_GB2312" w:cs="仿宋_GB2312"/>
          <w:spacing w:val="0"/>
          <w:kern w:val="0"/>
          <w:sz w:val="32"/>
          <w:szCs w:val="32"/>
          <w:u w:val="none"/>
          <w:lang w:val="en-US" w:eastAsia="zh-CN"/>
        </w:rPr>
      </w:pPr>
      <w:r>
        <w:rPr>
          <w:rFonts w:hint="eastAsia" w:ascii="仿宋_GB2312" w:hAnsi="仿宋_GB2312" w:eastAsia="仿宋_GB2312" w:cs="仿宋_GB2312"/>
          <w:spacing w:val="0"/>
          <w:kern w:val="0"/>
          <w:sz w:val="32"/>
          <w:szCs w:val="32"/>
          <w:u w:val="none"/>
          <w:lang w:val="en-US" w:eastAsia="zh-CN"/>
        </w:rPr>
        <w:t>3.</w:t>
      </w:r>
      <w:r>
        <w:rPr>
          <w:rFonts w:hint="eastAsia" w:ascii="仿宋_GB2312" w:hAnsi="楷体" w:eastAsia="仿宋_GB2312"/>
          <w:kern w:val="0"/>
          <w:sz w:val="32"/>
          <w:szCs w:val="32"/>
          <w:highlight w:val="none"/>
          <w:lang w:eastAsia="zh-CN"/>
        </w:rPr>
        <w:t>文化旅游体育与传媒</w:t>
      </w:r>
      <w:r>
        <w:rPr>
          <w:rFonts w:hint="eastAsia" w:ascii="仿宋_GB2312" w:hAnsi="楷体" w:eastAsia="仿宋_GB2312"/>
          <w:kern w:val="0"/>
          <w:sz w:val="32"/>
          <w:szCs w:val="32"/>
          <w:highlight w:val="none"/>
        </w:rPr>
        <w:t>支出</w:t>
      </w:r>
      <w:r>
        <w:rPr>
          <w:rFonts w:hint="eastAsia" w:ascii="仿宋_GB2312" w:hAnsi="楷体" w:eastAsia="仿宋_GB2312"/>
          <w:kern w:val="0"/>
          <w:sz w:val="32"/>
          <w:szCs w:val="32"/>
          <w:highlight w:val="none"/>
          <w:u w:val="none"/>
          <w:lang w:val="en-US" w:eastAsia="zh-CN"/>
        </w:rPr>
        <w:t>79.46</w:t>
      </w:r>
      <w:r>
        <w:rPr>
          <w:rFonts w:hint="eastAsia" w:ascii="仿宋_GB2312" w:hAnsi="楷体" w:eastAsia="仿宋_GB2312"/>
          <w:kern w:val="0"/>
          <w:sz w:val="32"/>
          <w:szCs w:val="32"/>
          <w:highlight w:val="none"/>
        </w:rPr>
        <w:t>万元，主要用于</w:t>
      </w:r>
      <w:r>
        <w:rPr>
          <w:rFonts w:hint="eastAsia" w:ascii="仿宋_GB2312" w:hAnsi="楷体" w:eastAsia="仿宋_GB2312"/>
          <w:kern w:val="0"/>
          <w:sz w:val="32"/>
          <w:szCs w:val="32"/>
          <w:highlight w:val="none"/>
          <w:lang w:eastAsia="zh-CN"/>
        </w:rPr>
        <w:t>农家书屋补充完善、农村公益电影及</w:t>
      </w:r>
      <w:r>
        <w:rPr>
          <w:rFonts w:hint="eastAsia" w:ascii="仿宋_GB2312" w:hAnsi="楷体" w:eastAsia="仿宋_GB2312"/>
          <w:kern w:val="0"/>
          <w:sz w:val="32"/>
          <w:szCs w:val="32"/>
          <w:highlight w:val="none"/>
          <w:lang w:val="en-US" w:eastAsia="zh-CN"/>
        </w:rPr>
        <w:t>乡镇老放映员补贴</w:t>
      </w:r>
      <w:r>
        <w:rPr>
          <w:rFonts w:hint="eastAsia" w:ascii="仿宋_GB2312" w:hAnsi="楷体" w:eastAsia="仿宋_GB2312"/>
          <w:kern w:val="0"/>
          <w:sz w:val="32"/>
          <w:szCs w:val="32"/>
          <w:highlight w:val="none"/>
          <w:lang w:eastAsia="zh-CN"/>
        </w:rPr>
        <w:t>等，与</w:t>
      </w:r>
      <w:r>
        <w:rPr>
          <w:rFonts w:hint="eastAsia" w:ascii="仿宋_GB2312" w:hAnsi="楷体" w:eastAsia="仿宋_GB2312"/>
          <w:kern w:val="0"/>
          <w:sz w:val="32"/>
          <w:szCs w:val="32"/>
          <w:highlight w:val="none"/>
        </w:rPr>
        <w:t>上年相比增加</w:t>
      </w:r>
      <w:r>
        <w:rPr>
          <w:rFonts w:hint="eastAsia" w:ascii="仿宋_GB2312" w:hAnsi="楷体" w:eastAsia="仿宋_GB2312"/>
          <w:kern w:val="0"/>
          <w:sz w:val="32"/>
          <w:szCs w:val="32"/>
          <w:highlight w:val="none"/>
          <w:lang w:val="en-US" w:eastAsia="zh-CN"/>
        </w:rPr>
        <w:t>47.02</w:t>
      </w:r>
      <w:r>
        <w:rPr>
          <w:rFonts w:hint="eastAsia" w:ascii="仿宋_GB2312" w:hAnsi="楷体" w:eastAsia="仿宋_GB2312"/>
          <w:kern w:val="0"/>
          <w:sz w:val="32"/>
          <w:szCs w:val="32"/>
          <w:highlight w:val="none"/>
        </w:rPr>
        <w:t>万元，增长</w:t>
      </w:r>
      <w:r>
        <w:rPr>
          <w:rFonts w:hint="eastAsia" w:ascii="仿宋_GB2312" w:hAnsi="楷体" w:eastAsia="仿宋_GB2312"/>
          <w:kern w:val="0"/>
          <w:sz w:val="32"/>
          <w:szCs w:val="32"/>
          <w:highlight w:val="none"/>
          <w:lang w:val="en-US" w:eastAsia="zh-CN"/>
        </w:rPr>
        <w:t>144.97</w:t>
      </w:r>
      <w:r>
        <w:rPr>
          <w:rFonts w:ascii="仿宋_GB2312" w:hAnsi="楷体" w:eastAsia="仿宋_GB2312"/>
          <w:kern w:val="0"/>
          <w:sz w:val="32"/>
          <w:szCs w:val="32"/>
          <w:highlight w:val="none"/>
        </w:rPr>
        <w:t>%</w:t>
      </w:r>
      <w:r>
        <w:rPr>
          <w:rFonts w:hint="eastAsia" w:ascii="仿宋_GB2312" w:hAnsi="楷体" w:eastAsia="仿宋_GB2312"/>
          <w:kern w:val="0"/>
          <w:sz w:val="32"/>
          <w:szCs w:val="32"/>
          <w:highlight w:val="none"/>
        </w:rPr>
        <w:t>。主要原因是</w:t>
      </w:r>
      <w:r>
        <w:rPr>
          <w:rFonts w:hint="eastAsia" w:ascii="仿宋_GB2312" w:hAnsi="楷体" w:eastAsia="仿宋_GB2312"/>
          <w:kern w:val="0"/>
          <w:sz w:val="32"/>
          <w:szCs w:val="32"/>
          <w:highlight w:val="none"/>
          <w:lang w:eastAsia="zh-CN"/>
        </w:rPr>
        <w:t>：</w:t>
      </w:r>
      <w:r>
        <w:rPr>
          <w:rFonts w:hint="eastAsia" w:ascii="仿宋_GB2312" w:hAnsi="楷体" w:eastAsia="仿宋_GB2312"/>
          <w:kern w:val="0"/>
          <w:sz w:val="32"/>
          <w:szCs w:val="32"/>
          <w:highlight w:val="none"/>
          <w:lang w:val="en-US" w:eastAsia="zh-CN"/>
        </w:rPr>
        <w:t>机构改革后宣传部职能增加，相应的业务经费增加</w:t>
      </w:r>
      <w:r>
        <w:rPr>
          <w:rFonts w:hint="eastAsia" w:ascii="仿宋_GB2312" w:hAnsi="楷体" w:eastAsia="仿宋_GB2312"/>
          <w:kern w:val="0"/>
          <w:sz w:val="32"/>
          <w:szCs w:val="32"/>
          <w:highlight w:val="none"/>
        </w:rPr>
        <w:t>。</w:t>
      </w:r>
    </w:p>
    <w:p>
      <w:pPr>
        <w:pageBreakBefore w:val="0"/>
        <w:widowControl w:val="0"/>
        <w:kinsoku/>
        <w:wordWrap/>
        <w:overflowPunct/>
        <w:topLinePunct w:val="0"/>
        <w:bidi w:val="0"/>
        <w:spacing w:line="600" w:lineRule="exact"/>
        <w:ind w:firstLine="640"/>
        <w:jc w:val="both"/>
        <w:textAlignment w:val="auto"/>
        <w:rPr>
          <w:rFonts w:hint="default" w:ascii="仿宋_GB2312" w:hAnsi="楷体" w:eastAsia="仿宋_GB2312"/>
          <w:kern w:val="0"/>
          <w:sz w:val="32"/>
          <w:szCs w:val="32"/>
          <w:lang w:val="en-US"/>
        </w:rPr>
      </w:pPr>
      <w:r>
        <w:rPr>
          <w:rFonts w:hint="eastAsia" w:ascii="仿宋_GB2312" w:hAnsi="楷体" w:eastAsia="仿宋_GB2312"/>
          <w:kern w:val="0"/>
          <w:sz w:val="32"/>
          <w:szCs w:val="32"/>
          <w:lang w:val="en-US" w:eastAsia="zh-CN"/>
        </w:rPr>
        <w:t>4</w:t>
      </w: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lang w:val="en-US" w:eastAsia="zh-CN"/>
        </w:rPr>
        <w:t>275.1</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9.04</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3.4</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仿宋_GB2312" w:eastAsia="仿宋_GB2312" w:cs="仿宋_GB2312"/>
          <w:spacing w:val="0"/>
          <w:sz w:val="32"/>
          <w:szCs w:val="32"/>
          <w:u w:val="none"/>
          <w:lang w:val="en-US" w:eastAsia="zh-CN"/>
        </w:rPr>
        <w:t>人员晋升职务职级、升档升级，各项保险补助增加</w:t>
      </w:r>
      <w:r>
        <w:rPr>
          <w:rFonts w:hint="eastAsia" w:ascii="仿宋_GB2312" w:hAnsi="楷体" w:eastAsia="仿宋_GB2312"/>
          <w:kern w:val="0"/>
          <w:sz w:val="32"/>
          <w:szCs w:val="32"/>
        </w:rPr>
        <w:t>。项目支出预算数为</w:t>
      </w:r>
      <w:r>
        <w:rPr>
          <w:rFonts w:hint="eastAsia" w:ascii="仿宋_GB2312" w:hAnsi="楷体" w:eastAsia="仿宋_GB2312"/>
          <w:kern w:val="0"/>
          <w:sz w:val="32"/>
          <w:szCs w:val="32"/>
          <w:lang w:val="en-US" w:eastAsia="zh-CN"/>
        </w:rPr>
        <w:t>453.15</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98.43</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27.75</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增加了农家书屋建设中央和省级配套、庆祝建党100周年宣传文化系列活动的支出、党报党刊预算、新时代文明实践中心活动经费和文明单位奖金等。</w:t>
      </w:r>
    </w:p>
    <w:p>
      <w:pPr>
        <w:pageBreakBefore w:val="0"/>
        <w:widowControl w:val="0"/>
        <w:numPr>
          <w:ilvl w:val="0"/>
          <w:numId w:val="0"/>
        </w:numPr>
        <w:kinsoku/>
        <w:wordWrap/>
        <w:overflowPunct/>
        <w:topLinePunct w:val="0"/>
        <w:bidi w:val="0"/>
        <w:spacing w:line="600" w:lineRule="exact"/>
        <w:ind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县委宣传部</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none"/>
          <w:lang w:val="en-US" w:eastAsia="zh-CN"/>
        </w:rPr>
        <w:t>728.25</w:t>
      </w:r>
      <w:r>
        <w:rPr>
          <w:rFonts w:hint="eastAsia" w:ascii="仿宋_GB2312" w:hAnsi="楷体" w:eastAsia="仿宋_GB2312"/>
          <w:kern w:val="0"/>
          <w:sz w:val="32"/>
          <w:szCs w:val="32"/>
        </w:rPr>
        <w:t>万元，其中：一般公共预算收入</w:t>
      </w:r>
      <w:r>
        <w:rPr>
          <w:rFonts w:hint="eastAsia" w:ascii="仿宋_GB2312" w:hAnsi="楷体" w:eastAsia="仿宋_GB2312"/>
          <w:kern w:val="0"/>
          <w:sz w:val="32"/>
          <w:szCs w:val="32"/>
          <w:lang w:val="en-US" w:eastAsia="zh-CN"/>
        </w:rPr>
        <w:t>728.25</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w:t>
      </w:r>
      <w:r>
        <w:rPr>
          <w:rFonts w:hint="eastAsia" w:ascii="仿宋_GB2312" w:hAnsi="仿宋_GB2312" w:eastAsia="仿宋_GB2312" w:cs="仿宋_GB2312"/>
          <w:spacing w:val="0"/>
          <w:kern w:val="0"/>
          <w:sz w:val="32"/>
          <w:szCs w:val="32"/>
          <w:u w:val="none"/>
        </w:rPr>
        <w:t>政府性基金预算收入</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万元，占</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%；财政专户管理资金</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万元，占</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%；国有资本经营预算收入</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万元，占</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 xml:space="preserve"> %；其他资金</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万元，占</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w:t>
      </w:r>
    </w:p>
    <w:p>
      <w:pPr>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pageBreakBefore w:val="0"/>
        <w:widowControl w:val="0"/>
        <w:kinsoku/>
        <w:wordWrap/>
        <w:overflowPunct/>
        <w:topLinePunct w:val="0"/>
        <w:bidi w:val="0"/>
        <w:spacing w:line="600" w:lineRule="exact"/>
        <w:ind w:firstLine="64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县委宣传部</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lang w:val="en-US" w:eastAsia="zh-CN"/>
        </w:rPr>
        <w:t>728.25</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lang w:val="en-US" w:eastAsia="zh-CN"/>
        </w:rPr>
        <w:t>275.1</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37.78</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lang w:val="en-US" w:eastAsia="zh-CN"/>
        </w:rPr>
        <w:t>453.15</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 xml:space="preserve"> </w:t>
      </w:r>
      <w:r>
        <w:rPr>
          <w:rFonts w:hint="eastAsia" w:ascii="仿宋_GB2312" w:hAnsi="楷体" w:eastAsia="仿宋_GB2312"/>
          <w:kern w:val="0"/>
          <w:sz w:val="32"/>
          <w:szCs w:val="32"/>
          <w:lang w:val="en-US" w:eastAsia="zh-CN"/>
        </w:rPr>
        <w:t>62.22</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四、财政拨款收支预算总体情况说明</w:t>
      </w:r>
    </w:p>
    <w:p>
      <w:pPr>
        <w:pageBreakBefore w:val="0"/>
        <w:widowControl w:val="0"/>
        <w:kinsoku/>
        <w:wordWrap/>
        <w:overflowPunct/>
        <w:topLinePunct w:val="0"/>
        <w:bidi w:val="0"/>
        <w:spacing w:line="600" w:lineRule="exact"/>
        <w:ind w:firstLine="640"/>
        <w:jc w:val="both"/>
        <w:textAlignment w:val="auto"/>
        <w:rPr>
          <w:rFonts w:hint="default" w:ascii="仿宋_GB2312" w:hAnsi="楷体" w:eastAsia="仿宋_GB2312"/>
          <w:kern w:val="0"/>
          <w:sz w:val="32"/>
          <w:szCs w:val="32"/>
          <w:lang w:val="en-US"/>
        </w:rPr>
      </w:pPr>
      <w:r>
        <w:rPr>
          <w:rFonts w:hint="eastAsia" w:ascii="仿宋_GB2312" w:hAnsi="楷体" w:eastAsia="仿宋_GB2312"/>
          <w:kern w:val="0"/>
          <w:sz w:val="32"/>
          <w:szCs w:val="32"/>
          <w:lang w:val="en-US" w:eastAsia="zh-CN"/>
        </w:rPr>
        <w:t>县委宣传部</w:t>
      </w:r>
      <w:r>
        <w:rPr>
          <w:rFonts w:ascii="仿宋_GB2312" w:hAnsi="楷体" w:eastAsia="仿宋_GB2312"/>
          <w:kern w:val="0"/>
          <w:sz w:val="32"/>
          <w:szCs w:val="32"/>
        </w:rPr>
        <w:t>202</w:t>
      </w:r>
      <w:r>
        <w:rPr>
          <w:rFonts w:hint="eastAsia" w:ascii="仿宋_GB2312" w:hAnsi="楷体" w:eastAsia="仿宋_GB2312"/>
          <w:kern w:val="0"/>
          <w:sz w:val="32"/>
          <w:szCs w:val="32"/>
        </w:rPr>
        <w:t>1年度财政拨款收、支总预算</w:t>
      </w:r>
      <w:r>
        <w:rPr>
          <w:rFonts w:hint="eastAsia" w:ascii="仿宋_GB2312" w:hAnsi="楷体" w:eastAsia="仿宋_GB2312"/>
          <w:kern w:val="0"/>
          <w:sz w:val="32"/>
          <w:szCs w:val="32"/>
          <w:u w:val="none"/>
          <w:lang w:val="en-US" w:eastAsia="zh-CN"/>
        </w:rPr>
        <w:t>728.25</w:t>
      </w:r>
      <w:r>
        <w:rPr>
          <w:rFonts w:hint="eastAsia" w:ascii="仿宋_GB2312" w:hAnsi="楷体" w:eastAsia="仿宋_GB2312"/>
          <w:kern w:val="0"/>
          <w:sz w:val="32"/>
          <w:szCs w:val="32"/>
        </w:rPr>
        <w:t>万元。与上年相比，财政拨款收、支总计各增加</w:t>
      </w:r>
      <w:r>
        <w:rPr>
          <w:rFonts w:hint="eastAsia" w:ascii="仿宋_GB2312" w:hAnsi="楷体" w:eastAsia="仿宋_GB2312"/>
          <w:kern w:val="0"/>
          <w:sz w:val="32"/>
          <w:szCs w:val="32"/>
          <w:lang w:val="en-US" w:eastAsia="zh-CN"/>
        </w:rPr>
        <w:t>107.47</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17.3</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增加了农家书屋建设中央和省级配套、庆祝建党100周年宣传文化系列活动的支出、党报党刊预算、新时代文明实践中心活动经费和文明单位奖金等。</w:t>
      </w:r>
    </w:p>
    <w:p>
      <w:pPr>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pageBreakBefore w:val="0"/>
        <w:widowControl w:val="0"/>
        <w:kinsoku/>
        <w:wordWrap/>
        <w:overflowPunct/>
        <w:topLinePunct w:val="0"/>
        <w:bidi w:val="0"/>
        <w:spacing w:line="600" w:lineRule="exact"/>
        <w:ind w:firstLine="640"/>
        <w:jc w:val="both"/>
        <w:textAlignment w:val="auto"/>
        <w:rPr>
          <w:rFonts w:ascii="仿宋_GB2312" w:hAnsi="楷体" w:eastAsia="仿宋_GB2312"/>
          <w:kern w:val="0"/>
          <w:sz w:val="32"/>
          <w:szCs w:val="32"/>
        </w:rPr>
      </w:pPr>
      <w:r>
        <w:rPr>
          <w:rFonts w:hint="eastAsia" w:ascii="仿宋_GB2312" w:hAnsi="楷体" w:eastAsia="仿宋_GB2312"/>
          <w:kern w:val="0"/>
          <w:sz w:val="32"/>
          <w:szCs w:val="32"/>
          <w:lang w:val="en-US" w:eastAsia="zh-CN"/>
        </w:rPr>
        <w:t>县委宣传部</w:t>
      </w:r>
      <w:r>
        <w:rPr>
          <w:rFonts w:ascii="仿宋_GB2312" w:hAnsi="楷体" w:eastAsia="仿宋_GB2312"/>
          <w:kern w:val="0"/>
          <w:sz w:val="32"/>
          <w:szCs w:val="32"/>
        </w:rPr>
        <w:t>202</w:t>
      </w:r>
      <w:r>
        <w:rPr>
          <w:rFonts w:hint="eastAsia" w:ascii="仿宋_GB2312" w:hAnsi="楷体" w:eastAsia="仿宋_GB2312"/>
          <w:kern w:val="0"/>
          <w:sz w:val="32"/>
          <w:szCs w:val="32"/>
        </w:rPr>
        <w:t>1年一般公共预算支出预算</w:t>
      </w:r>
      <w:r>
        <w:rPr>
          <w:rFonts w:hint="eastAsia" w:ascii="仿宋_GB2312" w:hAnsi="楷体" w:eastAsia="仿宋_GB2312"/>
          <w:kern w:val="0"/>
          <w:sz w:val="32"/>
          <w:szCs w:val="32"/>
          <w:lang w:val="en-US" w:eastAsia="zh-CN"/>
        </w:rPr>
        <w:t>728.25</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107.47</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17.3</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增加了农家书屋建设中央和省级配套、庆祝建党100周年宣传文化系列活动的支出、党报党刊预算、新时代文明实践中心活动经费和文明单位奖金等。</w:t>
      </w:r>
      <w:bookmarkStart w:id="0" w:name="_GoBack"/>
      <w:bookmarkEnd w:id="0"/>
    </w:p>
    <w:p>
      <w:pPr>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pageBreakBefore w:val="0"/>
        <w:widowControl w:val="0"/>
        <w:kinsoku/>
        <w:wordWrap/>
        <w:overflowPunct/>
        <w:topLinePunct w:val="0"/>
        <w:bidi w:val="0"/>
        <w:spacing w:line="600" w:lineRule="exact"/>
        <w:ind w:firstLine="641"/>
        <w:jc w:val="both"/>
        <w:textAlignment w:val="auto"/>
        <w:rPr>
          <w:rFonts w:ascii="仿宋_GB2312" w:hAnsi="楷体" w:eastAsia="仿宋_GB2312"/>
          <w:kern w:val="0"/>
          <w:sz w:val="32"/>
          <w:szCs w:val="32"/>
        </w:rPr>
      </w:pPr>
      <w:r>
        <w:rPr>
          <w:rFonts w:hint="eastAsia" w:ascii="仿宋_GB2312" w:hAnsi="楷体" w:eastAsia="仿宋_GB2312"/>
          <w:kern w:val="0"/>
          <w:sz w:val="32"/>
          <w:szCs w:val="32"/>
          <w:lang w:val="en-US" w:eastAsia="zh-CN"/>
        </w:rPr>
        <w:t>县委宣传部</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1年度一般公共预算基本支出预算</w:t>
      </w:r>
      <w:r>
        <w:rPr>
          <w:rFonts w:hint="eastAsia" w:ascii="仿宋_GB2312" w:hAnsi="楷体" w:eastAsia="仿宋_GB2312"/>
          <w:kern w:val="0"/>
          <w:sz w:val="32"/>
          <w:szCs w:val="32"/>
          <w:lang w:val="en-US" w:eastAsia="zh-CN"/>
        </w:rPr>
        <w:t>275.10</w:t>
      </w:r>
      <w:r>
        <w:rPr>
          <w:rFonts w:hint="eastAsia" w:ascii="仿宋_GB2312" w:hAnsi="楷体" w:eastAsia="仿宋_GB2312"/>
          <w:kern w:val="0"/>
          <w:sz w:val="32"/>
          <w:szCs w:val="32"/>
        </w:rPr>
        <w:t>万元，其中：</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lang w:val="en-US" w:eastAsia="zh-CN"/>
        </w:rPr>
        <w:t>264.18</w:t>
      </w:r>
      <w:r>
        <w:rPr>
          <w:rFonts w:hint="eastAsia" w:ascii="仿宋_GB2312" w:hAnsi="楷体" w:eastAsia="仿宋_GB2312"/>
          <w:kern w:val="0"/>
          <w:sz w:val="32"/>
          <w:szCs w:val="32"/>
        </w:rPr>
        <w:t>万元。主要包括：</w:t>
      </w:r>
      <w:r>
        <w:rPr>
          <w:rFonts w:hint="eastAsia" w:ascii="仿宋_GB2312" w:hAnsi="仿宋_GB2312" w:eastAsia="仿宋_GB2312" w:cs="仿宋_GB2312"/>
          <w:spacing w:val="0"/>
          <w:kern w:val="0"/>
          <w:sz w:val="32"/>
          <w:szCs w:val="32"/>
          <w:u w:val="none"/>
        </w:rPr>
        <w:t>基本工资、津贴补贴、奖金、社会保障缴费、绩效工资、其他工资福利支出、住房公积金、奖励金、退休费</w:t>
      </w:r>
      <w:r>
        <w:rPr>
          <w:rFonts w:hint="eastAsia" w:ascii="仿宋_GB2312" w:hAnsi="仿宋_GB2312" w:eastAsia="仿宋_GB2312" w:cs="仿宋_GB2312"/>
          <w:spacing w:val="0"/>
          <w:kern w:val="0"/>
          <w:sz w:val="32"/>
          <w:szCs w:val="32"/>
          <w:u w:val="none"/>
          <w:lang w:val="en-US" w:eastAsia="zh-CN"/>
        </w:rPr>
        <w:t>等。</w:t>
      </w:r>
    </w:p>
    <w:p>
      <w:pPr>
        <w:pageBreakBefore w:val="0"/>
        <w:widowControl w:val="0"/>
        <w:kinsoku/>
        <w:wordWrap/>
        <w:overflowPunct/>
        <w:topLinePunct w:val="0"/>
        <w:autoSpaceDE w:val="0"/>
        <w:autoSpaceDN w:val="0"/>
        <w:bidi w:val="0"/>
        <w:adjustRightInd w:val="0"/>
        <w:spacing w:line="600" w:lineRule="exact"/>
        <w:ind w:firstLine="641"/>
        <w:jc w:val="both"/>
        <w:textAlignment w:val="auto"/>
        <w:rPr>
          <w:rFonts w:hint="eastAsia" w:ascii="仿宋_GB2312" w:hAnsi="楷体" w:eastAsia="仿宋_GB2312"/>
          <w:kern w:val="0"/>
          <w:sz w:val="32"/>
          <w:szCs w:val="32"/>
          <w:lang w:eastAsia="zh-CN"/>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lang w:val="en-US" w:eastAsia="zh-CN"/>
        </w:rPr>
        <w:t>10.92</w:t>
      </w:r>
      <w:r>
        <w:rPr>
          <w:rFonts w:hint="eastAsia" w:ascii="仿宋_GB2312" w:hAnsi="楷体" w:eastAsia="仿宋_GB2312"/>
          <w:kern w:val="0"/>
          <w:sz w:val="32"/>
          <w:szCs w:val="32"/>
        </w:rPr>
        <w:t>万元。主要包括：</w:t>
      </w:r>
      <w:r>
        <w:rPr>
          <w:rFonts w:hint="eastAsia" w:ascii="仿宋_GB2312" w:hAnsi="仿宋_GB2312" w:eastAsia="仿宋_GB2312" w:cs="仿宋_GB2312"/>
          <w:spacing w:val="0"/>
          <w:kern w:val="0"/>
          <w:sz w:val="32"/>
          <w:szCs w:val="32"/>
          <w:u w:val="none"/>
        </w:rPr>
        <w:t>办公费、印刷费、邮电费、差旅费、其他交通费用、其他商品和服务支出</w:t>
      </w:r>
      <w:r>
        <w:rPr>
          <w:rFonts w:hint="eastAsia" w:ascii="仿宋_GB2312" w:hAnsi="仿宋_GB2312" w:eastAsia="仿宋_GB2312" w:cs="仿宋_GB2312"/>
          <w:spacing w:val="0"/>
          <w:kern w:val="0"/>
          <w:sz w:val="32"/>
          <w:szCs w:val="32"/>
          <w:u w:val="none"/>
          <w:lang w:val="en-US" w:eastAsia="zh-CN"/>
        </w:rPr>
        <w:t>等</w:t>
      </w:r>
    </w:p>
    <w:p>
      <w:pPr>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lang w:eastAsia="zh-CN"/>
        </w:rPr>
        <w:t>县委宣传部</w:t>
      </w:r>
      <w:r>
        <w:rPr>
          <w:rFonts w:hint="eastAsia" w:ascii="仿宋_GB2312" w:hAnsi="楷体" w:eastAsia="仿宋_GB2312" w:cstheme="minorBidi"/>
          <w:kern w:val="0"/>
          <w:sz w:val="32"/>
          <w:szCs w:val="32"/>
        </w:rPr>
        <w:t>202</w:t>
      </w:r>
      <w:r>
        <w:rPr>
          <w:rFonts w:hint="eastAsia" w:ascii="仿宋_GB2312" w:hAnsi="楷体" w:eastAsia="仿宋_GB2312" w:cstheme="minorBidi"/>
          <w:kern w:val="0"/>
          <w:sz w:val="32"/>
          <w:szCs w:val="32"/>
          <w:lang w:val="en-US" w:eastAsia="zh-CN"/>
        </w:rPr>
        <w:t>1</w:t>
      </w:r>
      <w:r>
        <w:rPr>
          <w:rFonts w:hint="eastAsia" w:ascii="仿宋_GB2312" w:hAnsi="楷体" w:eastAsia="仿宋_GB2312" w:cstheme="minorBidi"/>
          <w:kern w:val="0"/>
          <w:sz w:val="32"/>
          <w:szCs w:val="32"/>
        </w:rPr>
        <w:t>年政府性基金支出预算支出</w:t>
      </w:r>
      <w:r>
        <w:rPr>
          <w:rFonts w:hint="eastAsia" w:ascii="仿宋_GB2312" w:hAnsi="楷体" w:eastAsia="仿宋_GB2312" w:cstheme="minorBidi"/>
          <w:kern w:val="0"/>
          <w:sz w:val="32"/>
          <w:szCs w:val="32"/>
          <w:lang w:val="en-US" w:eastAsia="zh-CN"/>
        </w:rPr>
        <w:t>0</w:t>
      </w:r>
      <w:r>
        <w:rPr>
          <w:rFonts w:hint="eastAsia" w:ascii="仿宋_GB2312" w:hAnsi="楷体" w:eastAsia="仿宋_GB2312" w:cstheme="minorBidi"/>
          <w:kern w:val="0"/>
          <w:sz w:val="32"/>
          <w:szCs w:val="32"/>
        </w:rPr>
        <w:t>万元。与上年相比增加（减少）</w:t>
      </w:r>
      <w:r>
        <w:rPr>
          <w:rFonts w:hint="eastAsia" w:ascii="仿宋_GB2312" w:hAnsi="楷体" w:eastAsia="仿宋_GB2312" w:cstheme="minorBidi"/>
          <w:kern w:val="0"/>
          <w:sz w:val="32"/>
          <w:szCs w:val="32"/>
          <w:lang w:val="en-US" w:eastAsia="zh-CN"/>
        </w:rPr>
        <w:t>0</w:t>
      </w:r>
      <w:r>
        <w:rPr>
          <w:rFonts w:hint="eastAsia" w:ascii="仿宋_GB2312" w:hAnsi="楷体" w:eastAsia="仿宋_GB2312" w:cstheme="minorBidi"/>
          <w:kern w:val="0"/>
          <w:sz w:val="32"/>
          <w:szCs w:val="32"/>
        </w:rPr>
        <w:t>万元，增长（减少）</w:t>
      </w:r>
      <w:r>
        <w:rPr>
          <w:rFonts w:hint="eastAsia" w:ascii="仿宋_GB2312" w:hAnsi="楷体" w:eastAsia="仿宋_GB2312" w:cstheme="minorBidi"/>
          <w:kern w:val="0"/>
          <w:sz w:val="32"/>
          <w:szCs w:val="32"/>
          <w:lang w:val="en-US" w:eastAsia="zh-CN"/>
        </w:rPr>
        <w:t>0</w:t>
      </w:r>
      <w:r>
        <w:rPr>
          <w:rFonts w:hint="eastAsia" w:ascii="仿宋_GB2312" w:hAnsi="楷体" w:eastAsia="仿宋_GB2312" w:cstheme="minorBidi"/>
          <w:kern w:val="0"/>
          <w:sz w:val="32"/>
          <w:szCs w:val="32"/>
        </w:rPr>
        <w:t>%。主要原因是</w:t>
      </w:r>
      <w:r>
        <w:rPr>
          <w:rFonts w:hint="eastAsia" w:ascii="仿宋_GB2312" w:hAnsi="楷体" w:eastAsia="仿宋_GB2312" w:cstheme="minorBidi"/>
          <w:kern w:val="0"/>
          <w:sz w:val="32"/>
          <w:szCs w:val="32"/>
          <w:lang w:eastAsia="zh-CN"/>
        </w:rPr>
        <w:t>：无</w:t>
      </w:r>
      <w:r>
        <w:rPr>
          <w:rFonts w:hint="eastAsia" w:ascii="仿宋_GB2312" w:hAnsi="楷体" w:eastAsia="仿宋_GB2312" w:cstheme="minorBidi"/>
          <w:kern w:val="0"/>
          <w:sz w:val="32"/>
          <w:szCs w:val="32"/>
        </w:rPr>
        <w:t>。</w:t>
      </w:r>
    </w:p>
    <w:p>
      <w:pPr>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pageBreakBefore w:val="0"/>
        <w:widowControl w:val="0"/>
        <w:kinsoku/>
        <w:wordWrap/>
        <w:overflowPunct/>
        <w:topLinePunct w:val="0"/>
        <w:autoSpaceDE w:val="0"/>
        <w:autoSpaceDN w:val="0"/>
        <w:bidi w:val="0"/>
        <w:adjustRightInd w:val="0"/>
        <w:spacing w:line="600" w:lineRule="exact"/>
        <w:ind w:firstLine="640" w:firstLineChars="200"/>
        <w:jc w:val="both"/>
        <w:textAlignment w:val="auto"/>
        <w:rPr>
          <w:rFonts w:hint="eastAsia" w:ascii="仿宋_GB2312" w:hAnsi="仿宋_GB2312" w:eastAsia="仿宋_GB2312" w:cs="仿宋_GB2312"/>
          <w:b w:val="0"/>
          <w:bCs/>
          <w:spacing w:val="0"/>
          <w:sz w:val="32"/>
          <w:szCs w:val="32"/>
          <w:u w:val="none"/>
          <w:lang w:eastAsia="zh-CN"/>
        </w:rPr>
      </w:pPr>
      <w:r>
        <w:rPr>
          <w:rFonts w:hint="eastAsia" w:ascii="仿宋_GB2312" w:hAnsi="仿宋_GB2312" w:eastAsia="仿宋_GB2312" w:cs="仿宋_GB2312"/>
          <w:b w:val="0"/>
          <w:bCs/>
          <w:spacing w:val="0"/>
          <w:sz w:val="32"/>
          <w:szCs w:val="32"/>
          <w:u w:val="none"/>
          <w:lang w:val="en-US" w:eastAsia="zh-CN"/>
        </w:rPr>
        <w:t>2021年度本部门无</w:t>
      </w:r>
      <w:r>
        <w:rPr>
          <w:rFonts w:hint="eastAsia" w:ascii="仿宋_GB2312" w:hAnsi="仿宋_GB2312" w:eastAsia="仿宋_GB2312" w:cs="仿宋_GB2312"/>
          <w:b w:val="0"/>
          <w:bCs/>
          <w:spacing w:val="0"/>
          <w:sz w:val="32"/>
          <w:szCs w:val="32"/>
          <w:u w:val="none"/>
        </w:rPr>
        <w:t>“三公”经费</w:t>
      </w:r>
      <w:r>
        <w:rPr>
          <w:rFonts w:hint="eastAsia" w:ascii="仿宋_GB2312" w:hAnsi="仿宋_GB2312" w:eastAsia="仿宋_GB2312" w:cs="仿宋_GB2312"/>
          <w:b w:val="0"/>
          <w:bCs/>
          <w:spacing w:val="0"/>
          <w:sz w:val="32"/>
          <w:szCs w:val="32"/>
          <w:u w:val="none"/>
          <w:lang w:eastAsia="zh-CN"/>
        </w:rPr>
        <w:t>。</w:t>
      </w:r>
    </w:p>
    <w:p>
      <w:pPr>
        <w:pageBreakBefore w:val="0"/>
        <w:widowControl w:val="0"/>
        <w:kinsoku/>
        <w:wordWrap/>
        <w:overflowPunct/>
        <w:topLinePunct w:val="0"/>
        <w:autoSpaceDE w:val="0"/>
        <w:autoSpaceDN w:val="0"/>
        <w:bidi w:val="0"/>
        <w:adjustRightInd w:val="0"/>
        <w:spacing w:line="600" w:lineRule="exact"/>
        <w:ind w:firstLine="640" w:firstLineChars="200"/>
        <w:jc w:val="both"/>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val="0"/>
          <w:bCs/>
          <w:spacing w:val="0"/>
          <w:sz w:val="32"/>
          <w:szCs w:val="32"/>
          <w:u w:val="none"/>
          <w:lang w:val="en-US" w:eastAsia="zh-CN"/>
        </w:rPr>
        <w:t>县委宣传部</w:t>
      </w:r>
      <w:r>
        <w:rPr>
          <w:rFonts w:hint="eastAsia" w:ascii="仿宋_GB2312" w:hAnsi="仿宋_GB2312" w:eastAsia="仿宋_GB2312" w:cs="仿宋_GB2312"/>
          <w:kern w:val="0"/>
          <w:sz w:val="32"/>
          <w:szCs w:val="32"/>
          <w:u w:val="none"/>
        </w:rPr>
        <w:t>2021年度一般公共预算拨款安排的“三公”经费预算支出中，因公出国（境）费支出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万元，占“三公”经费的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%；公务用车购置及运行费支出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万元，占“三公”经费的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 xml:space="preserve"> %；公务接待费支出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万元，占“三公”经费的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%。具体情况如下：</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kern w:val="0"/>
          <w:sz w:val="32"/>
          <w:szCs w:val="32"/>
          <w:u w:val="none"/>
        </w:rPr>
        <w:t>1．因公出国（境）费预算支出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w:t>
      </w:r>
      <w:r>
        <w:rPr>
          <w:rFonts w:hint="eastAsia" w:ascii="仿宋_GB2312" w:hAnsi="仿宋_GB2312" w:eastAsia="仿宋_GB2312" w:cs="仿宋_GB2312"/>
          <w:spacing w:val="0"/>
          <w:kern w:val="0"/>
          <w:sz w:val="32"/>
          <w:szCs w:val="32"/>
          <w:u w:val="none"/>
        </w:rPr>
        <w:t>与上年</w:t>
      </w:r>
      <w:r>
        <w:rPr>
          <w:rFonts w:hint="eastAsia" w:ascii="仿宋_GB2312" w:hAnsi="仿宋_GB2312" w:eastAsia="仿宋_GB2312" w:cs="仿宋_GB2312"/>
          <w:spacing w:val="0"/>
          <w:kern w:val="0"/>
          <w:sz w:val="32"/>
          <w:szCs w:val="32"/>
          <w:u w:val="none"/>
          <w:lang w:val="en-US" w:eastAsia="zh-CN"/>
        </w:rPr>
        <w:t>预算数相同</w:t>
      </w:r>
      <w:r>
        <w:rPr>
          <w:rFonts w:hint="eastAsia" w:ascii="仿宋_GB2312" w:hAnsi="仿宋_GB2312" w:eastAsia="仿宋_GB2312" w:cs="仿宋_GB2312"/>
          <w:spacing w:val="0"/>
          <w:kern w:val="0"/>
          <w:sz w:val="32"/>
          <w:szCs w:val="32"/>
          <w:u w:val="none"/>
        </w:rPr>
        <w:t>。</w:t>
      </w:r>
    </w:p>
    <w:p>
      <w:pPr>
        <w:pageBreakBefore w:val="0"/>
        <w:widowControl w:val="0"/>
        <w:kinsoku/>
        <w:wordWrap/>
        <w:overflowPunct/>
        <w:topLinePunct w:val="0"/>
        <w:autoSpaceDE w:val="0"/>
        <w:autoSpaceDN w:val="0"/>
        <w:bidi w:val="0"/>
        <w:adjustRightInd w:val="0"/>
        <w:spacing w:line="600" w:lineRule="exact"/>
        <w:ind w:firstLine="640" w:firstLineChars="200"/>
        <w:jc w:val="both"/>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2．公务用车购置及运行费预算支出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万元。其中：</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kern w:val="0"/>
          <w:sz w:val="32"/>
          <w:szCs w:val="32"/>
          <w:u w:val="none"/>
        </w:rPr>
        <w:t>（1）公务用车购置预算支出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w:t>
      </w:r>
      <w:r>
        <w:rPr>
          <w:rFonts w:hint="eastAsia" w:ascii="仿宋_GB2312" w:hAnsi="仿宋_GB2312" w:eastAsia="仿宋_GB2312" w:cs="仿宋_GB2312"/>
          <w:spacing w:val="0"/>
          <w:kern w:val="0"/>
          <w:sz w:val="32"/>
          <w:szCs w:val="32"/>
          <w:u w:val="none"/>
        </w:rPr>
        <w:t>与上年</w:t>
      </w:r>
      <w:r>
        <w:rPr>
          <w:rFonts w:hint="eastAsia" w:ascii="仿宋_GB2312" w:hAnsi="仿宋_GB2312" w:eastAsia="仿宋_GB2312" w:cs="仿宋_GB2312"/>
          <w:spacing w:val="0"/>
          <w:kern w:val="0"/>
          <w:sz w:val="32"/>
          <w:szCs w:val="32"/>
          <w:u w:val="none"/>
          <w:lang w:val="en-US" w:eastAsia="zh-CN"/>
        </w:rPr>
        <w:t>预算数相同</w:t>
      </w:r>
      <w:r>
        <w:rPr>
          <w:rFonts w:hint="eastAsia" w:ascii="仿宋_GB2312" w:hAnsi="仿宋_GB2312" w:eastAsia="仿宋_GB2312" w:cs="仿宋_GB2312"/>
          <w:spacing w:val="0"/>
          <w:kern w:val="0"/>
          <w:sz w:val="32"/>
          <w:szCs w:val="32"/>
          <w:u w:val="none"/>
        </w:rPr>
        <w:t>。</w:t>
      </w:r>
    </w:p>
    <w:p>
      <w:pPr>
        <w:pageBreakBefore w:val="0"/>
        <w:widowControl w:val="0"/>
        <w:kinsoku/>
        <w:wordWrap/>
        <w:overflowPunct/>
        <w:topLinePunct w:val="0"/>
        <w:autoSpaceDE w:val="0"/>
        <w:autoSpaceDN w:val="0"/>
        <w:bidi w:val="0"/>
        <w:adjustRightInd w:val="0"/>
        <w:spacing w:line="600" w:lineRule="exact"/>
        <w:ind w:firstLine="640" w:firstLineChars="200"/>
        <w:jc w:val="both"/>
        <w:textAlignment w:val="auto"/>
        <w:rPr>
          <w:rFonts w:hint="eastAsia" w:ascii="仿宋_GB2312" w:hAnsi="仿宋_GB2312" w:eastAsia="仿宋_GB2312" w:cs="仿宋_GB2312"/>
          <w:kern w:val="0"/>
          <w:sz w:val="32"/>
          <w:szCs w:val="32"/>
          <w:u w:val="none"/>
          <w:lang w:val="en-US"/>
        </w:rPr>
      </w:pPr>
      <w:r>
        <w:rPr>
          <w:rFonts w:hint="eastAsia" w:ascii="仿宋_GB2312" w:hAnsi="仿宋_GB2312" w:eastAsia="仿宋_GB2312" w:cs="仿宋_GB2312"/>
          <w:kern w:val="0"/>
          <w:sz w:val="32"/>
          <w:szCs w:val="32"/>
          <w:u w:val="none"/>
        </w:rPr>
        <w:t>（2）公务用车运行维护费预算支出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万元，比上年预算减少</w:t>
      </w:r>
      <w:r>
        <w:rPr>
          <w:rFonts w:hint="eastAsia" w:ascii="仿宋_GB2312" w:hAnsi="仿宋_GB2312" w:eastAsia="仿宋_GB2312" w:cs="仿宋_GB2312"/>
          <w:kern w:val="0"/>
          <w:sz w:val="32"/>
          <w:szCs w:val="32"/>
          <w:u w:val="none"/>
          <w:lang w:val="en-US" w:eastAsia="zh-CN"/>
        </w:rPr>
        <w:t>1.6</w:t>
      </w:r>
      <w:r>
        <w:rPr>
          <w:rFonts w:hint="eastAsia" w:ascii="仿宋_GB2312" w:hAnsi="仿宋_GB2312" w:eastAsia="仿宋_GB2312" w:cs="仿宋_GB2312"/>
          <w:kern w:val="0"/>
          <w:sz w:val="32"/>
          <w:szCs w:val="32"/>
          <w:u w:val="none"/>
        </w:rPr>
        <w:t>万元，主要原因</w:t>
      </w:r>
      <w:r>
        <w:rPr>
          <w:rFonts w:hint="eastAsia" w:ascii="仿宋_GB2312" w:hAnsi="仿宋_GB2312" w:eastAsia="仿宋_GB2312" w:cs="仿宋_GB2312"/>
          <w:kern w:val="0"/>
          <w:sz w:val="32"/>
          <w:szCs w:val="32"/>
          <w:u w:val="none"/>
          <w:lang w:val="en-US" w:eastAsia="zh-CN"/>
        </w:rPr>
        <w:t>是公务用车移交县机关事务后勤服务中心，相关费用减少。</w:t>
      </w:r>
    </w:p>
    <w:p>
      <w:pPr>
        <w:pageBreakBefore w:val="0"/>
        <w:widowControl w:val="0"/>
        <w:kinsoku/>
        <w:wordWrap/>
        <w:overflowPunct/>
        <w:topLinePunct w:val="0"/>
        <w:autoSpaceDE w:val="0"/>
        <w:autoSpaceDN w:val="0"/>
        <w:bidi w:val="0"/>
        <w:adjustRightInd w:val="0"/>
        <w:spacing w:line="600" w:lineRule="exact"/>
        <w:ind w:firstLine="640" w:firstLineChars="200"/>
        <w:jc w:val="both"/>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3．公务接待费预算支出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w:t>
      </w:r>
      <w:r>
        <w:rPr>
          <w:rFonts w:hint="eastAsia" w:ascii="仿宋_GB2312" w:hAnsi="仿宋_GB2312" w:eastAsia="仿宋_GB2312" w:cs="仿宋_GB2312"/>
          <w:spacing w:val="0"/>
          <w:kern w:val="0"/>
          <w:sz w:val="32"/>
          <w:szCs w:val="32"/>
          <w:u w:val="none"/>
        </w:rPr>
        <w:t>与上年</w:t>
      </w:r>
      <w:r>
        <w:rPr>
          <w:rFonts w:hint="eastAsia" w:ascii="仿宋_GB2312" w:hAnsi="仿宋_GB2312" w:eastAsia="仿宋_GB2312" w:cs="仿宋_GB2312"/>
          <w:spacing w:val="0"/>
          <w:kern w:val="0"/>
          <w:sz w:val="32"/>
          <w:szCs w:val="32"/>
          <w:u w:val="none"/>
          <w:lang w:val="en-US" w:eastAsia="zh-CN"/>
        </w:rPr>
        <w:t>预算数相同</w:t>
      </w:r>
      <w:r>
        <w:rPr>
          <w:rFonts w:hint="eastAsia" w:ascii="仿宋_GB2312" w:hAnsi="仿宋_GB2312" w:eastAsia="仿宋_GB2312" w:cs="仿宋_GB2312"/>
          <w:spacing w:val="0"/>
          <w:kern w:val="0"/>
          <w:sz w:val="32"/>
          <w:szCs w:val="32"/>
          <w:u w:val="none"/>
        </w:rPr>
        <w:t>。</w:t>
      </w:r>
    </w:p>
    <w:p>
      <w:pPr>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40" w:firstLineChars="200"/>
        <w:jc w:val="both"/>
        <w:textAlignment w:val="auto"/>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1年本部门一般公共预算机关运行经费预算支出</w:t>
      </w:r>
      <w:r>
        <w:rPr>
          <w:rFonts w:hint="eastAsia" w:ascii="仿宋_GB2312" w:hAnsi="楷体" w:eastAsia="仿宋_GB2312"/>
          <w:kern w:val="0"/>
          <w:sz w:val="32"/>
          <w:szCs w:val="32"/>
          <w:lang w:val="en-US" w:eastAsia="zh-CN"/>
        </w:rPr>
        <w:t>8.76</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lang w:val="en-US" w:eastAsia="zh-CN"/>
        </w:rPr>
        <w:t>2.86</w:t>
      </w:r>
      <w:r>
        <w:rPr>
          <w:rFonts w:hint="eastAsia" w:ascii="仿宋_GB2312" w:hAnsi="楷体" w:eastAsia="仿宋_GB2312"/>
          <w:kern w:val="0"/>
          <w:sz w:val="32"/>
          <w:szCs w:val="32"/>
        </w:rPr>
        <w:t>万元，降低</w:t>
      </w:r>
      <w:r>
        <w:rPr>
          <w:rFonts w:hint="eastAsia" w:ascii="仿宋_GB2312" w:hAnsi="楷体" w:eastAsia="仿宋_GB2312"/>
          <w:kern w:val="0"/>
          <w:sz w:val="32"/>
          <w:szCs w:val="32"/>
          <w:lang w:val="en-US" w:eastAsia="zh-CN"/>
        </w:rPr>
        <w:t>24.61</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按要求减少办公经费开支、</w:t>
      </w:r>
      <w:r>
        <w:rPr>
          <w:rFonts w:hint="eastAsia" w:ascii="仿宋_GB2312" w:hAnsi="仿宋_GB2312" w:eastAsia="仿宋_GB2312" w:cs="仿宋_GB2312"/>
          <w:spacing w:val="0"/>
          <w:kern w:val="0"/>
          <w:sz w:val="32"/>
          <w:szCs w:val="32"/>
          <w:u w:val="none"/>
          <w:lang w:val="en-US" w:eastAsia="zh-CN"/>
        </w:rPr>
        <w:t>人员的调出</w:t>
      </w:r>
      <w:r>
        <w:rPr>
          <w:rFonts w:hint="eastAsia" w:ascii="仿宋_GB2312" w:hAnsi="仿宋_GB2312" w:eastAsia="仿宋_GB2312" w:cs="仿宋_GB2312"/>
          <w:spacing w:val="0"/>
          <w:kern w:val="0"/>
          <w:sz w:val="32"/>
          <w:szCs w:val="32"/>
          <w:u w:val="none"/>
        </w:rPr>
        <w:t>。</w:t>
      </w:r>
    </w:p>
    <w:p>
      <w:pPr>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pageBreakBefore w:val="0"/>
        <w:widowControl w:val="0"/>
        <w:kinsoku/>
        <w:wordWrap/>
        <w:overflowPunct/>
        <w:topLinePunct w:val="0"/>
        <w:autoSpaceDE w:val="0"/>
        <w:autoSpaceDN w:val="0"/>
        <w:bidi w:val="0"/>
        <w:adjustRightInd w:val="0"/>
        <w:spacing w:line="600" w:lineRule="exact"/>
        <w:ind w:firstLine="640" w:firstLineChars="200"/>
        <w:jc w:val="both"/>
        <w:textAlignment w:val="auto"/>
        <w:rPr>
          <w:rFonts w:hint="eastAsia" w:ascii="仿宋_GB2312" w:hAnsi="楷体" w:eastAsia="仿宋_GB2312"/>
          <w:kern w:val="0"/>
          <w:sz w:val="32"/>
          <w:szCs w:val="32"/>
          <w:lang w:eastAsia="zh-CN"/>
        </w:rPr>
      </w:pPr>
      <w:r>
        <w:rPr>
          <w:rFonts w:ascii="仿宋_GB2312" w:hAnsi="楷体" w:eastAsia="仿宋_GB2312"/>
          <w:kern w:val="0"/>
          <w:sz w:val="32"/>
          <w:szCs w:val="32"/>
        </w:rPr>
        <w:t>202</w:t>
      </w:r>
      <w:r>
        <w:rPr>
          <w:rFonts w:hint="eastAsia" w:ascii="仿宋_GB2312" w:hAnsi="楷体" w:eastAsia="仿宋_GB2312"/>
          <w:kern w:val="0"/>
          <w:sz w:val="32"/>
          <w:szCs w:val="32"/>
        </w:rPr>
        <w:t>1年度政府采购支出预算总额</w:t>
      </w:r>
      <w:r>
        <w:rPr>
          <w:rFonts w:hint="eastAsia" w:ascii="仿宋_GB2312" w:hAnsi="楷体" w:eastAsia="仿宋_GB2312"/>
          <w:kern w:val="0"/>
          <w:sz w:val="32"/>
          <w:szCs w:val="32"/>
          <w:u w:val="none"/>
          <w:lang w:val="en-US" w:eastAsia="zh-CN"/>
        </w:rPr>
        <w:t>59.16</w:t>
      </w:r>
      <w:r>
        <w:rPr>
          <w:rFonts w:hint="eastAsia" w:ascii="仿宋_GB2312" w:hAnsi="楷体" w:eastAsia="仿宋_GB2312"/>
          <w:kern w:val="0"/>
          <w:sz w:val="32"/>
          <w:szCs w:val="32"/>
        </w:rPr>
        <w:t>万元，其中：拟采购货物支出</w:t>
      </w:r>
      <w:r>
        <w:rPr>
          <w:rFonts w:hint="eastAsia" w:ascii="仿宋_GB2312" w:hAnsi="楷体" w:eastAsia="仿宋_GB2312"/>
          <w:kern w:val="0"/>
          <w:sz w:val="32"/>
          <w:szCs w:val="32"/>
          <w:u w:val="none"/>
          <w:lang w:val="en-US" w:eastAsia="zh-CN"/>
        </w:rPr>
        <w:t>59.16</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p>
    <w:p>
      <w:pPr>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keepNext w:val="0"/>
        <w:keepLines w:val="0"/>
        <w:pageBreakBefore w:val="0"/>
        <w:widowControl w:val="0"/>
        <w:kinsoku/>
        <w:wordWrap/>
        <w:overflowPunct/>
        <w:topLinePunct w:val="0"/>
        <w:autoSpaceDE w:val="0"/>
        <w:autoSpaceDN w:val="0"/>
        <w:bidi w:val="0"/>
        <w:adjustRightInd w:val="0"/>
        <w:spacing w:line="600" w:lineRule="exact"/>
        <w:ind w:left="0" w:leftChars="0" w:firstLine="640" w:firstLineChars="200"/>
        <w:jc w:val="both"/>
        <w:textAlignment w:val="auto"/>
        <w:rPr>
          <w:rFonts w:ascii="仿宋_GB2312" w:hAnsi="楷体" w:eastAsia="仿宋_GB2312"/>
          <w:kern w:val="0"/>
          <w:sz w:val="32"/>
          <w:szCs w:val="32"/>
        </w:rPr>
      </w:pPr>
      <w:r>
        <w:rPr>
          <w:rFonts w:hint="eastAsia" w:ascii="仿宋_GB2312" w:hAnsi="仿宋_GB2312" w:eastAsia="仿宋_GB2312" w:cs="仿宋_GB2312"/>
          <w:spacing w:val="0"/>
          <w:kern w:val="0"/>
          <w:sz w:val="32"/>
          <w:szCs w:val="32"/>
          <w:u w:val="none"/>
        </w:rPr>
        <w:t>本部门共有车辆</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辆。</w:t>
      </w:r>
    </w:p>
    <w:p>
      <w:pPr>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pageBreakBefore w:val="0"/>
        <w:widowControl w:val="0"/>
        <w:kinsoku/>
        <w:wordWrap/>
        <w:overflowPunct/>
        <w:topLinePunct w:val="0"/>
        <w:autoSpaceDE w:val="0"/>
        <w:autoSpaceDN w:val="0"/>
        <w:bidi w:val="0"/>
        <w:adjustRightInd w:val="0"/>
        <w:spacing w:line="600" w:lineRule="exact"/>
        <w:ind w:firstLine="800" w:firstLineChars="250"/>
        <w:jc w:val="both"/>
        <w:textAlignment w:val="auto"/>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1年度，本部门单位共</w:t>
      </w:r>
      <w:r>
        <w:rPr>
          <w:rFonts w:hint="eastAsia" w:ascii="仿宋_GB2312" w:hAnsi="楷体" w:eastAsia="仿宋_GB2312"/>
          <w:kern w:val="0"/>
          <w:sz w:val="32"/>
          <w:szCs w:val="32"/>
          <w:lang w:val="en-US" w:eastAsia="zh-CN"/>
        </w:rPr>
        <w:t>12</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none"/>
          <w:lang w:val="en-US" w:eastAsia="zh-CN"/>
        </w:rPr>
        <w:t>453.15</w:t>
      </w:r>
      <w:r>
        <w:rPr>
          <w:rFonts w:hint="eastAsia" w:ascii="仿宋_GB2312" w:hAnsi="楷体" w:eastAsia="仿宋_GB2312"/>
          <w:kern w:val="0"/>
          <w:sz w:val="32"/>
          <w:szCs w:val="32"/>
        </w:rPr>
        <w:t>万元；</w:t>
      </w:r>
      <w:r>
        <w:rPr>
          <w:rFonts w:hint="eastAsia" w:ascii="仿宋_GB2312" w:hAnsi="仿宋_GB2312" w:eastAsia="仿宋_GB2312" w:cs="仿宋_GB2312"/>
          <w:spacing w:val="0"/>
          <w:kern w:val="0"/>
          <w:sz w:val="32"/>
          <w:szCs w:val="32"/>
          <w:u w:val="none"/>
        </w:rPr>
        <w:t>本部门单位整体支出纳入绩效目标管理，涉及财政性资金</w:t>
      </w:r>
      <w:r>
        <w:rPr>
          <w:rFonts w:hint="eastAsia" w:ascii="仿宋_GB2312" w:hAnsi="仿宋_GB2312" w:eastAsia="仿宋_GB2312" w:cs="仿宋_GB2312"/>
          <w:spacing w:val="0"/>
          <w:kern w:val="0"/>
          <w:sz w:val="32"/>
          <w:szCs w:val="32"/>
          <w:u w:val="none"/>
          <w:lang w:val="en-US" w:eastAsia="zh-CN"/>
        </w:rPr>
        <w:t>453.15</w:t>
      </w:r>
      <w:r>
        <w:rPr>
          <w:rFonts w:hint="eastAsia" w:ascii="仿宋_GB2312" w:hAnsi="仿宋_GB2312" w:eastAsia="仿宋_GB2312" w:cs="仿宋_GB2312"/>
          <w:spacing w:val="0"/>
          <w:kern w:val="0"/>
          <w:sz w:val="32"/>
          <w:szCs w:val="32"/>
          <w:u w:val="none"/>
        </w:rPr>
        <w:t>万元。</w:t>
      </w:r>
    </w:p>
    <w:p>
      <w:pPr>
        <w:pageBreakBefore w:val="0"/>
        <w:widowControl w:val="0"/>
        <w:kinsoku/>
        <w:wordWrap/>
        <w:overflowPunct/>
        <w:topLinePunct w:val="0"/>
        <w:bidi w:val="0"/>
        <w:spacing w:line="600" w:lineRule="exact"/>
        <w:ind w:firstLine="636"/>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十三、其他说明</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rPr>
          <w:rFonts w:hint="eastAsia" w:ascii="黑体" w:hAnsi="Times New Roman" w:eastAsia="黑体"/>
          <w:kern w:val="0"/>
          <w:sz w:val="32"/>
          <w:szCs w:val="32"/>
        </w:rPr>
      </w:pPr>
      <w:r>
        <w:rPr>
          <w:rFonts w:hint="eastAsia" w:ascii="仿宋_GB2312" w:hAnsi="仿宋_GB2312" w:eastAsia="仿宋_GB2312" w:cs="仿宋_GB2312"/>
          <w:b w:val="0"/>
          <w:bCs w:val="0"/>
          <w:spacing w:val="0"/>
          <w:kern w:val="0"/>
          <w:sz w:val="32"/>
          <w:szCs w:val="32"/>
          <w:u w:val="none"/>
          <w:lang w:val="en-US" w:eastAsia="zh-CN"/>
        </w:rPr>
        <w:t>2021年度本部门</w:t>
      </w:r>
      <w:r>
        <w:rPr>
          <w:rFonts w:hint="eastAsia" w:ascii="仿宋_GB2312" w:hAnsi="仿宋_GB2312" w:eastAsia="仿宋_GB2312" w:cs="仿宋_GB2312"/>
          <w:b w:val="0"/>
          <w:bCs w:val="0"/>
          <w:spacing w:val="0"/>
          <w:kern w:val="0"/>
          <w:sz w:val="32"/>
          <w:szCs w:val="32"/>
          <w:u w:val="none"/>
        </w:rPr>
        <w:t>未使用政府债券。</w:t>
      </w:r>
    </w:p>
    <w:p>
      <w:pPr>
        <w:pageBreakBefore w:val="0"/>
        <w:widowControl w:val="0"/>
        <w:kinsoku/>
        <w:wordWrap/>
        <w:overflowPunct/>
        <w:topLinePunct w:val="0"/>
        <w:bidi w:val="0"/>
        <w:spacing w:line="600" w:lineRule="exact"/>
        <w:jc w:val="both"/>
        <w:textAlignment w:val="auto"/>
        <w:rPr>
          <w:rFonts w:hint="eastAsia" w:ascii="黑体" w:hAnsi="Times New Roman" w:eastAsia="黑体"/>
          <w:kern w:val="0"/>
          <w:sz w:val="32"/>
          <w:szCs w:val="32"/>
        </w:rPr>
      </w:pPr>
    </w:p>
    <w:p>
      <w:pPr>
        <w:pageBreakBefore w:val="0"/>
        <w:widowControl w:val="0"/>
        <w:kinsoku/>
        <w:wordWrap/>
        <w:overflowPunct/>
        <w:topLinePunct w:val="0"/>
        <w:bidi w:val="0"/>
        <w:spacing w:line="600" w:lineRule="exact"/>
        <w:jc w:val="center"/>
        <w:textAlignment w:val="auto"/>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pageBreakBefore w:val="0"/>
        <w:widowControl w:val="0"/>
        <w:kinsoku/>
        <w:wordWrap/>
        <w:overflowPunct/>
        <w:topLinePunct w:val="0"/>
        <w:bidi w:val="0"/>
        <w:spacing w:line="600" w:lineRule="exact"/>
        <w:ind w:firstLine="636"/>
        <w:jc w:val="both"/>
        <w:textAlignment w:val="auto"/>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pageBreakBefore w:val="0"/>
        <w:widowControl w:val="0"/>
        <w:kinsoku/>
        <w:wordWrap/>
        <w:overflowPunct/>
        <w:topLinePunct w:val="0"/>
        <w:bidi w:val="0"/>
        <w:spacing w:line="600" w:lineRule="exact"/>
        <w:ind w:firstLine="636"/>
        <w:jc w:val="both"/>
        <w:textAlignment w:val="auto"/>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pageBreakBefore w:val="0"/>
        <w:widowControl w:val="0"/>
        <w:kinsoku/>
        <w:wordWrap/>
        <w:overflowPunct/>
        <w:topLinePunct w:val="0"/>
        <w:bidi w:val="0"/>
        <w:spacing w:line="600" w:lineRule="exact"/>
        <w:ind w:firstLine="636"/>
        <w:jc w:val="both"/>
        <w:textAlignment w:val="auto"/>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pageBreakBefore w:val="0"/>
        <w:widowControl w:val="0"/>
        <w:kinsoku/>
        <w:wordWrap/>
        <w:overflowPunct/>
        <w:topLinePunct w:val="0"/>
        <w:bidi w:val="0"/>
        <w:spacing w:line="600" w:lineRule="exact"/>
        <w:ind w:firstLine="636"/>
        <w:jc w:val="both"/>
        <w:textAlignment w:val="auto"/>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pageBreakBefore w:val="0"/>
        <w:widowControl w:val="0"/>
        <w:kinsoku/>
        <w:wordWrap/>
        <w:overflowPunct/>
        <w:topLinePunct w:val="0"/>
        <w:bidi w:val="0"/>
        <w:spacing w:line="600" w:lineRule="exact"/>
        <w:ind w:firstLine="636"/>
        <w:jc w:val="both"/>
        <w:textAlignment w:val="auto"/>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pageBreakBefore w:val="0"/>
        <w:widowControl w:val="0"/>
        <w:kinsoku/>
        <w:wordWrap/>
        <w:overflowPunct/>
        <w:topLinePunct w:val="0"/>
        <w:bidi w:val="0"/>
        <w:spacing w:line="600" w:lineRule="exact"/>
        <w:ind w:firstLine="636"/>
        <w:jc w:val="both"/>
        <w:textAlignment w:val="auto"/>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pageBreakBefore w:val="0"/>
        <w:widowControl w:val="0"/>
        <w:kinsoku/>
        <w:wordWrap/>
        <w:overflowPunct/>
        <w:topLinePunct w:val="0"/>
        <w:bidi w:val="0"/>
        <w:snapToGrid w:val="0"/>
        <w:spacing w:line="600" w:lineRule="exact"/>
        <w:ind w:firstLine="640"/>
        <w:jc w:val="both"/>
        <w:textAlignment w:val="auto"/>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560" w:firstLineChars="2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ind w:firstLine="560" w:firstLineChars="2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168B55"/>
    <w:multiLevelType w:val="singleLevel"/>
    <w:tmpl w:val="CB168B55"/>
    <w:lvl w:ilvl="0" w:tentative="0">
      <w:start w:val="1"/>
      <w:numFmt w:val="chineseCounting"/>
      <w:suff w:val="space"/>
      <w:lvlText w:val="第%1部分"/>
      <w:lvlJc w:val="left"/>
      <w:rPr>
        <w:rFonts w:hint="eastAsia"/>
      </w:rPr>
    </w:lvl>
  </w:abstractNum>
  <w:abstractNum w:abstractNumId="1">
    <w:nsid w:val="CCDC8628"/>
    <w:multiLevelType w:val="singleLevel"/>
    <w:tmpl w:val="CCDC8628"/>
    <w:lvl w:ilvl="0" w:tentative="0">
      <w:start w:val="1"/>
      <w:numFmt w:val="decimal"/>
      <w:suff w:val="nothing"/>
      <w:lvlText w:val="%1．"/>
      <w:lvlJc w:val="left"/>
    </w:lvl>
  </w:abstractNum>
  <w:abstractNum w:abstractNumId="2">
    <w:nsid w:val="5456D05E"/>
    <w:multiLevelType w:val="singleLevel"/>
    <w:tmpl w:val="5456D05E"/>
    <w:lvl w:ilvl="0" w:tentative="0">
      <w:start w:val="2"/>
      <w:numFmt w:val="chineseCounting"/>
      <w:suff w:val="nothing"/>
      <w:lvlText w:val="%1、"/>
      <w:lvlJc w:val="left"/>
      <w:rPr>
        <w:rFonts w:hint="eastAsia"/>
      </w:rPr>
    </w:lvl>
  </w:abstractNum>
  <w:abstractNum w:abstractNumId="3">
    <w:nsid w:val="5793C17B"/>
    <w:multiLevelType w:val="singleLevel"/>
    <w:tmpl w:val="5793C17B"/>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315A9E"/>
    <w:rsid w:val="00EF1C6F"/>
    <w:rsid w:val="01253C69"/>
    <w:rsid w:val="017B482F"/>
    <w:rsid w:val="01E2763B"/>
    <w:rsid w:val="02302B49"/>
    <w:rsid w:val="02496741"/>
    <w:rsid w:val="02F71C94"/>
    <w:rsid w:val="042A46B1"/>
    <w:rsid w:val="043815E1"/>
    <w:rsid w:val="047252B7"/>
    <w:rsid w:val="04C80B34"/>
    <w:rsid w:val="0595462A"/>
    <w:rsid w:val="05E51BD6"/>
    <w:rsid w:val="06507638"/>
    <w:rsid w:val="068F085F"/>
    <w:rsid w:val="06C82279"/>
    <w:rsid w:val="06DD6518"/>
    <w:rsid w:val="09965BB5"/>
    <w:rsid w:val="09ED16A4"/>
    <w:rsid w:val="09FE3469"/>
    <w:rsid w:val="0A395A2B"/>
    <w:rsid w:val="0A781506"/>
    <w:rsid w:val="0A831A07"/>
    <w:rsid w:val="0AF6210B"/>
    <w:rsid w:val="0B7A268C"/>
    <w:rsid w:val="0C046835"/>
    <w:rsid w:val="0C550EC0"/>
    <w:rsid w:val="0D1A3339"/>
    <w:rsid w:val="0D587CD0"/>
    <w:rsid w:val="0E2643B3"/>
    <w:rsid w:val="0ECF36D9"/>
    <w:rsid w:val="0F8E22C0"/>
    <w:rsid w:val="0FAC09AE"/>
    <w:rsid w:val="10307323"/>
    <w:rsid w:val="10675503"/>
    <w:rsid w:val="10F95EB1"/>
    <w:rsid w:val="11910BD1"/>
    <w:rsid w:val="11F327D2"/>
    <w:rsid w:val="12213C95"/>
    <w:rsid w:val="12257834"/>
    <w:rsid w:val="12AC5325"/>
    <w:rsid w:val="13D31AA5"/>
    <w:rsid w:val="14382EFE"/>
    <w:rsid w:val="14897DBA"/>
    <w:rsid w:val="155366DE"/>
    <w:rsid w:val="16027FF2"/>
    <w:rsid w:val="16407400"/>
    <w:rsid w:val="164D2E81"/>
    <w:rsid w:val="16A97B7B"/>
    <w:rsid w:val="16B00739"/>
    <w:rsid w:val="16EF2637"/>
    <w:rsid w:val="17A809B3"/>
    <w:rsid w:val="17FB7DB6"/>
    <w:rsid w:val="18692FEC"/>
    <w:rsid w:val="189004E1"/>
    <w:rsid w:val="19660F13"/>
    <w:rsid w:val="19B3058F"/>
    <w:rsid w:val="19CE7BD6"/>
    <w:rsid w:val="19D410BE"/>
    <w:rsid w:val="19EF64A7"/>
    <w:rsid w:val="1AA75C23"/>
    <w:rsid w:val="1AEA4822"/>
    <w:rsid w:val="1DBF43F1"/>
    <w:rsid w:val="1DF103C1"/>
    <w:rsid w:val="1E46404A"/>
    <w:rsid w:val="1E8B07BA"/>
    <w:rsid w:val="1F167368"/>
    <w:rsid w:val="1FD5315A"/>
    <w:rsid w:val="20154AC9"/>
    <w:rsid w:val="20953A56"/>
    <w:rsid w:val="20B465EE"/>
    <w:rsid w:val="22461B1D"/>
    <w:rsid w:val="22755FFE"/>
    <w:rsid w:val="229A0D7C"/>
    <w:rsid w:val="22CC6E73"/>
    <w:rsid w:val="22DF6CA5"/>
    <w:rsid w:val="23613E3F"/>
    <w:rsid w:val="23C10D48"/>
    <w:rsid w:val="23D52ACB"/>
    <w:rsid w:val="23F2500F"/>
    <w:rsid w:val="24235685"/>
    <w:rsid w:val="249E0B2A"/>
    <w:rsid w:val="24D33A48"/>
    <w:rsid w:val="25A96F31"/>
    <w:rsid w:val="26267710"/>
    <w:rsid w:val="26D73A12"/>
    <w:rsid w:val="26D867DF"/>
    <w:rsid w:val="275561AD"/>
    <w:rsid w:val="275B5730"/>
    <w:rsid w:val="28775D55"/>
    <w:rsid w:val="28B179A0"/>
    <w:rsid w:val="297F60F4"/>
    <w:rsid w:val="29C54245"/>
    <w:rsid w:val="29C74969"/>
    <w:rsid w:val="29E745D6"/>
    <w:rsid w:val="2A0C4B1E"/>
    <w:rsid w:val="2A997794"/>
    <w:rsid w:val="2AA80908"/>
    <w:rsid w:val="2AB30F8B"/>
    <w:rsid w:val="2B4A170A"/>
    <w:rsid w:val="2BCB60EE"/>
    <w:rsid w:val="2C292926"/>
    <w:rsid w:val="2D282446"/>
    <w:rsid w:val="2DFF008B"/>
    <w:rsid w:val="2E08317D"/>
    <w:rsid w:val="2E4538B8"/>
    <w:rsid w:val="2EB17F2E"/>
    <w:rsid w:val="2FAD4D38"/>
    <w:rsid w:val="2FF70208"/>
    <w:rsid w:val="30B46CA3"/>
    <w:rsid w:val="3108141F"/>
    <w:rsid w:val="316856A6"/>
    <w:rsid w:val="31CA3EE9"/>
    <w:rsid w:val="32103D80"/>
    <w:rsid w:val="32673A99"/>
    <w:rsid w:val="32CE2438"/>
    <w:rsid w:val="34732E94"/>
    <w:rsid w:val="34C942F5"/>
    <w:rsid w:val="34DE6D61"/>
    <w:rsid w:val="35130948"/>
    <w:rsid w:val="35780C7F"/>
    <w:rsid w:val="36951834"/>
    <w:rsid w:val="36A02393"/>
    <w:rsid w:val="36D55DA2"/>
    <w:rsid w:val="36F50DF2"/>
    <w:rsid w:val="373B78F2"/>
    <w:rsid w:val="379558B9"/>
    <w:rsid w:val="379A34ED"/>
    <w:rsid w:val="394F6AC1"/>
    <w:rsid w:val="395C094E"/>
    <w:rsid w:val="396D721C"/>
    <w:rsid w:val="397841A2"/>
    <w:rsid w:val="39B865D7"/>
    <w:rsid w:val="39C35268"/>
    <w:rsid w:val="39FD2297"/>
    <w:rsid w:val="3ABA5314"/>
    <w:rsid w:val="3B0872A5"/>
    <w:rsid w:val="3C8B2D2A"/>
    <w:rsid w:val="3C8F32B3"/>
    <w:rsid w:val="3C9A09D4"/>
    <w:rsid w:val="3CDA3DEA"/>
    <w:rsid w:val="3D036264"/>
    <w:rsid w:val="3D11386C"/>
    <w:rsid w:val="3D6345D6"/>
    <w:rsid w:val="3E411A23"/>
    <w:rsid w:val="3F0D5E27"/>
    <w:rsid w:val="3F4F16B9"/>
    <w:rsid w:val="3F510BAC"/>
    <w:rsid w:val="3F5B1A54"/>
    <w:rsid w:val="3F914565"/>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4218F5"/>
    <w:rsid w:val="47EE3BCE"/>
    <w:rsid w:val="48143A56"/>
    <w:rsid w:val="48882984"/>
    <w:rsid w:val="49FF0CFB"/>
    <w:rsid w:val="4AE6267B"/>
    <w:rsid w:val="4B517DBB"/>
    <w:rsid w:val="4BEC58E9"/>
    <w:rsid w:val="4BF3571C"/>
    <w:rsid w:val="4CCC2331"/>
    <w:rsid w:val="4D6954BF"/>
    <w:rsid w:val="50BC7B39"/>
    <w:rsid w:val="522B544F"/>
    <w:rsid w:val="527C3191"/>
    <w:rsid w:val="53DD6BA8"/>
    <w:rsid w:val="53F21A3F"/>
    <w:rsid w:val="5483412B"/>
    <w:rsid w:val="55B2288E"/>
    <w:rsid w:val="55CB4852"/>
    <w:rsid w:val="579E20B3"/>
    <w:rsid w:val="58430EF3"/>
    <w:rsid w:val="58AA41B4"/>
    <w:rsid w:val="58E1020F"/>
    <w:rsid w:val="598304EE"/>
    <w:rsid w:val="59AC6411"/>
    <w:rsid w:val="5A22632C"/>
    <w:rsid w:val="5A3967DE"/>
    <w:rsid w:val="5A8D4004"/>
    <w:rsid w:val="5AB04B75"/>
    <w:rsid w:val="5B494D63"/>
    <w:rsid w:val="5B9F36DE"/>
    <w:rsid w:val="5C446D71"/>
    <w:rsid w:val="5CA16867"/>
    <w:rsid w:val="5D15689C"/>
    <w:rsid w:val="5D3A24DF"/>
    <w:rsid w:val="5DDD007E"/>
    <w:rsid w:val="5F074BD6"/>
    <w:rsid w:val="5F4C57DE"/>
    <w:rsid w:val="5F767359"/>
    <w:rsid w:val="5FA40E1A"/>
    <w:rsid w:val="5FAE6B95"/>
    <w:rsid w:val="5FDF3221"/>
    <w:rsid w:val="60AD072C"/>
    <w:rsid w:val="60E076A0"/>
    <w:rsid w:val="61A97E4C"/>
    <w:rsid w:val="62680D4E"/>
    <w:rsid w:val="63804CC1"/>
    <w:rsid w:val="63990914"/>
    <w:rsid w:val="63CA0901"/>
    <w:rsid w:val="63DC3A6F"/>
    <w:rsid w:val="64276F60"/>
    <w:rsid w:val="64535518"/>
    <w:rsid w:val="64A47E04"/>
    <w:rsid w:val="64AE406A"/>
    <w:rsid w:val="64E61465"/>
    <w:rsid w:val="65A60FF6"/>
    <w:rsid w:val="65FC7179"/>
    <w:rsid w:val="66036E65"/>
    <w:rsid w:val="6634345E"/>
    <w:rsid w:val="674D4A37"/>
    <w:rsid w:val="67573C0D"/>
    <w:rsid w:val="67606103"/>
    <w:rsid w:val="67EB6718"/>
    <w:rsid w:val="6831408E"/>
    <w:rsid w:val="68C7713A"/>
    <w:rsid w:val="68F242AC"/>
    <w:rsid w:val="69703C97"/>
    <w:rsid w:val="6A052D54"/>
    <w:rsid w:val="6ABB4B62"/>
    <w:rsid w:val="6AE72CA4"/>
    <w:rsid w:val="6B73082E"/>
    <w:rsid w:val="6BDF7B89"/>
    <w:rsid w:val="6DD00F51"/>
    <w:rsid w:val="6DE177A7"/>
    <w:rsid w:val="6E130B2A"/>
    <w:rsid w:val="6E445AF4"/>
    <w:rsid w:val="6E5205D8"/>
    <w:rsid w:val="6E695163"/>
    <w:rsid w:val="6E6B4DE5"/>
    <w:rsid w:val="6EDA2E31"/>
    <w:rsid w:val="6F48701D"/>
    <w:rsid w:val="6FC77BC7"/>
    <w:rsid w:val="70C61C0B"/>
    <w:rsid w:val="70E334F7"/>
    <w:rsid w:val="71A62B1B"/>
    <w:rsid w:val="71D47169"/>
    <w:rsid w:val="720A3FB4"/>
    <w:rsid w:val="728F19DA"/>
    <w:rsid w:val="72C23FBE"/>
    <w:rsid w:val="72F81C9E"/>
    <w:rsid w:val="736E3BAB"/>
    <w:rsid w:val="746C073F"/>
    <w:rsid w:val="75A56425"/>
    <w:rsid w:val="761362F3"/>
    <w:rsid w:val="77481BE2"/>
    <w:rsid w:val="77915F20"/>
    <w:rsid w:val="78317136"/>
    <w:rsid w:val="78801057"/>
    <w:rsid w:val="78A87B63"/>
    <w:rsid w:val="79333014"/>
    <w:rsid w:val="7A0A6456"/>
    <w:rsid w:val="7A82651F"/>
    <w:rsid w:val="7A9225AA"/>
    <w:rsid w:val="7AAA2752"/>
    <w:rsid w:val="7ADE0B82"/>
    <w:rsid w:val="7AED2B21"/>
    <w:rsid w:val="7B3A5C4F"/>
    <w:rsid w:val="7B787240"/>
    <w:rsid w:val="7BB41C66"/>
    <w:rsid w:val="7C605D84"/>
    <w:rsid w:val="7CB85B57"/>
    <w:rsid w:val="7CBB5016"/>
    <w:rsid w:val="7D9F4C2A"/>
    <w:rsid w:val="7DAF3E53"/>
    <w:rsid w:val="7DD51D8B"/>
    <w:rsid w:val="7E2E3893"/>
    <w:rsid w:val="7E6B6F8A"/>
    <w:rsid w:val="7EA9786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qFormat/>
    <w:uiPriority w:val="0"/>
    <w:pPr>
      <w:keepNext/>
      <w:keepLines/>
      <w:spacing w:before="280" w:after="290" w:line="376" w:lineRule="auto"/>
      <w:outlineLvl w:val="4"/>
    </w:pPr>
    <w:rPr>
      <w:b/>
      <w:bCs/>
      <w:sz w:val="28"/>
      <w:szCs w:val="28"/>
    </w:rPr>
  </w:style>
  <w:style w:type="character" w:default="1" w:styleId="6">
    <w:name w:val="Default Paragraph Font"/>
    <w:link w:val="7"/>
    <w:semiHidden/>
    <w:qFormat/>
    <w:uiPriority w:val="0"/>
    <w:rPr>
      <w:rFonts w:ascii="Times New Roman" w:hAnsi="Times New Roman"/>
      <w:szCs w:val="24"/>
    </w:rPr>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w:basedOn w:val="1"/>
    <w:link w:val="6"/>
    <w:qFormat/>
    <w:uiPriority w:val="0"/>
    <w:rPr>
      <w:rFonts w:ascii="Times New Roman" w:hAnsi="Times New Roman"/>
      <w:szCs w:val="24"/>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Administrator</cp:lastModifiedBy>
  <cp:lastPrinted>2020-05-19T03:47:00Z</cp:lastPrinted>
  <dcterms:modified xsi:type="dcterms:W3CDTF">2021-06-02T00:41:25Z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C7BB6A058981483BB478D2CCB1CEC1A7</vt:lpwstr>
  </property>
</Properties>
</file>