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keepNext w:val="0"/>
        <w:keepLines w:val="0"/>
        <w:pageBreakBefore w:val="0"/>
        <w:widowControl w:val="0"/>
        <w:kinsoku/>
        <w:wordWrap/>
        <w:overflowPunct/>
        <w:topLinePunct w:val="0"/>
        <w:bidi w:val="0"/>
        <w:jc w:val="center"/>
        <w:textAlignment w:val="auto"/>
        <w:rPr>
          <w:rFonts w:ascii="宋体" w:cs="宋体"/>
          <w:b/>
          <w:bCs/>
          <w:kern w:val="0"/>
          <w:sz w:val="44"/>
          <w:szCs w:val="44"/>
        </w:rPr>
      </w:pPr>
      <w:r>
        <w:rPr>
          <w:rFonts w:hint="eastAsia" w:ascii="宋体" w:hAnsi="宋体" w:cs="宋体"/>
          <w:b/>
          <w:bCs/>
          <w:kern w:val="0"/>
          <w:sz w:val="44"/>
          <w:szCs w:val="44"/>
        </w:rPr>
        <w:t>中共襄汾县委统一战线工作部</w:t>
      </w:r>
    </w:p>
    <w:p>
      <w:pPr>
        <w:keepNext w:val="0"/>
        <w:keepLines w:val="0"/>
        <w:pageBreakBefore w:val="0"/>
        <w:widowControl w:val="0"/>
        <w:kinsoku/>
        <w:wordWrap/>
        <w:overflowPunct/>
        <w:topLinePunct w:val="0"/>
        <w:bidi w:val="0"/>
        <w:jc w:val="center"/>
        <w:textAlignment w:val="auto"/>
        <w:rPr>
          <w:rFonts w:ascii="宋体" w:cs="宋体"/>
          <w:b/>
          <w:bCs/>
          <w:kern w:val="0"/>
          <w:sz w:val="44"/>
          <w:szCs w:val="44"/>
        </w:rPr>
      </w:pPr>
      <w:r>
        <w:rPr>
          <w:rFonts w:ascii="宋体" w:hAnsi="宋体" w:cs="宋体"/>
          <w:b/>
          <w:bCs/>
          <w:kern w:val="0"/>
          <w:sz w:val="44"/>
          <w:szCs w:val="44"/>
        </w:rPr>
        <w:t>2021</w:t>
      </w:r>
      <w:r>
        <w:rPr>
          <w:rFonts w:hint="eastAsia" w:ascii="宋体" w:hAnsi="宋体" w:cs="宋体"/>
          <w:b/>
          <w:bCs/>
          <w:kern w:val="0"/>
          <w:sz w:val="44"/>
          <w:szCs w:val="44"/>
        </w:rPr>
        <w:t>年度部门预算公开</w:t>
      </w:r>
    </w:p>
    <w:p>
      <w:pPr>
        <w:keepNext w:val="0"/>
        <w:keepLines w:val="0"/>
        <w:pageBreakBefore w:val="0"/>
        <w:widowControl w:val="0"/>
        <w:numPr>
          <w:ilvl w:val="0"/>
          <w:numId w:val="1"/>
        </w:numPr>
        <w:kinsoku/>
        <w:wordWrap/>
        <w:overflowPunct/>
        <w:topLinePunct w:val="0"/>
        <w:bidi w:val="0"/>
        <w:spacing w:line="560" w:lineRule="exact"/>
        <w:jc w:val="center"/>
        <w:textAlignment w:val="auto"/>
        <w:rPr>
          <w:rFonts w:hint="eastAsia" w:ascii="黑体" w:hAnsi="Times New Roman" w:eastAsia="黑体"/>
          <w:kern w:val="0"/>
          <w:sz w:val="32"/>
          <w:szCs w:val="32"/>
        </w:rPr>
      </w:pPr>
      <w:r>
        <w:rPr>
          <w:rFonts w:ascii="黑体" w:hAnsi="Times New Roman" w:eastAsia="黑体"/>
          <w:kern w:val="0"/>
          <w:sz w:val="32"/>
          <w:szCs w:val="32"/>
        </w:rPr>
        <w:t xml:space="preserve"> </w:t>
      </w:r>
      <w:r>
        <w:rPr>
          <w:rFonts w:hint="eastAsia" w:ascii="黑体" w:hAnsi="Times New Roman" w:eastAsia="黑体"/>
          <w:kern w:val="0"/>
          <w:sz w:val="32"/>
          <w:szCs w:val="32"/>
        </w:rPr>
        <w:t>概况</w:t>
      </w:r>
    </w:p>
    <w:p>
      <w:pPr>
        <w:keepNext w:val="0"/>
        <w:keepLines w:val="0"/>
        <w:pageBreakBefore w:val="0"/>
        <w:widowControl w:val="0"/>
        <w:numPr>
          <w:ilvl w:val="0"/>
          <w:numId w:val="0"/>
        </w:numPr>
        <w:kinsoku/>
        <w:wordWrap/>
        <w:overflowPunct/>
        <w:topLinePunct w:val="0"/>
        <w:bidi w:val="0"/>
        <w:spacing w:line="560" w:lineRule="exact"/>
        <w:jc w:val="both"/>
        <w:textAlignment w:val="auto"/>
        <w:rPr>
          <w:rFonts w:hint="eastAsia" w:ascii="黑体" w:hAnsi="Times New Roman" w:eastAsia="黑体"/>
          <w:kern w:val="0"/>
          <w:sz w:val="32"/>
          <w:szCs w:val="32"/>
        </w:rPr>
      </w:pP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(一)贯彻落实加强党对统一战线工作集中统一领导的要求，发挥县委在统战工作方面的参谋机构、组织协调机构。</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(二)深入调查研究，及时向县委报告统一战线工作情况并提出建议，统筹协调和指导各部门各单位统一战线工作。</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(三)负责发现、培养党外代表人士，负责党外人士的政治安排。</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(四)贯彻落实党的宣传工作方针，统筹推进统一战线宣传工作。</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(五)负责联系各民主党派，通报情况、反映意见，做好支持民主党派履行职责、发挥作用的工作。</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(六)组织实施民族工作的法律、法规和方针、政策，组织开展民族理论、民族政策和民族工作重大问题的调查研究。</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(七)统一管理全县宗教工作，贯彻落实党的宗教工作基本方针和政策，依法管理宗教行政事务。</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(八)负责联系、培养无党派代表人士，支持、帮助无党派人士加强自身建设、发挥作用。</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(九)参与制定、推动落实鼓励支持非公有制经济发展的方针政策，调查研究非公有制经济人士情况并提出政策建议。</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(十)统一领导全县海外统战工作，牵头开展港澳统战工作，开展对台统战工作。</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(十一)统一管理全县侨务工作。</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(十二)做好统一战线有关单位和团体的管理工作。</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(十三)承担县委交办的其他工作。</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bookmarkStart w:id="0" w:name="_Toc69455756"/>
      <w:r>
        <w:rPr>
          <w:rFonts w:hint="eastAsia" w:ascii="仿宋_GB2312" w:hAnsi="楷体" w:eastAsia="仿宋_GB2312" w:cstheme="minorBidi"/>
          <w:kern w:val="0"/>
          <w:sz w:val="32"/>
          <w:szCs w:val="32"/>
        </w:rPr>
        <w:t>(十四)加强县委统战部的统一归口协调管理职能，加强对民族、宗教、海外统战工作的集中统一领导。</w:t>
      </w:r>
      <w:bookmarkEnd w:id="0"/>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val="en-US" w:eastAsia="zh-CN"/>
        </w:rPr>
        <w:t>二、</w:t>
      </w:r>
      <w:r>
        <w:rPr>
          <w:rFonts w:hint="eastAsia" w:ascii="仿宋_GB2312" w:hAnsi="楷体" w:eastAsia="仿宋_GB2312" w:cstheme="minorBidi"/>
          <w:kern w:val="0"/>
          <w:sz w:val="32"/>
          <w:szCs w:val="32"/>
        </w:rPr>
        <w:t>部门机构设置及预算单位构成情况</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1．根据部门职责分工，本部门内设机构包括：办公室、综合一股、综合二股、民族宗教事务股。</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 xml:space="preserve"> 2．从预算单位构成看，纳入本部门2021年部门汇总预算编制范围的预算单位共计</w:t>
      </w:r>
      <w:r>
        <w:rPr>
          <w:rFonts w:hint="eastAsia" w:ascii="仿宋_GB2312" w:hAnsi="楷体" w:eastAsia="仿宋_GB2312" w:cstheme="minorBidi"/>
          <w:kern w:val="0"/>
          <w:sz w:val="32"/>
          <w:szCs w:val="32"/>
          <w:lang w:val="en-US" w:eastAsia="zh-CN"/>
        </w:rPr>
        <w:t>1</w:t>
      </w:r>
      <w:r>
        <w:rPr>
          <w:rFonts w:hint="eastAsia" w:ascii="仿宋_GB2312" w:hAnsi="楷体" w:eastAsia="仿宋_GB2312" w:cstheme="minorBidi"/>
          <w:kern w:val="0"/>
          <w:sz w:val="32"/>
          <w:szCs w:val="32"/>
        </w:rPr>
        <w:t>家，具体包括： 中共襄汾县委统一战线工作部本级。</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val="en-US" w:eastAsia="zh-CN"/>
        </w:rPr>
        <w:t>三、</w:t>
      </w:r>
      <w:r>
        <w:rPr>
          <w:rFonts w:hint="eastAsia" w:ascii="仿宋_GB2312" w:hAnsi="楷体" w:eastAsia="仿宋_GB2312" w:cstheme="minorBidi"/>
          <w:kern w:val="0"/>
          <w:sz w:val="32"/>
          <w:szCs w:val="32"/>
        </w:rPr>
        <w:t>2021年部门主要工作任务及目标</w:t>
      </w:r>
    </w:p>
    <w:p>
      <w:pPr>
        <w:keepNext w:val="0"/>
        <w:keepLines w:val="0"/>
        <w:pageBreakBefore w:val="0"/>
        <w:widowControl w:val="0"/>
        <w:kinsoku/>
        <w:wordWrap/>
        <w:overflowPunct/>
        <w:topLinePunct w:val="0"/>
        <w:bidi w:val="0"/>
        <w:spacing w:line="560" w:lineRule="exact"/>
        <w:ind w:firstLine="636"/>
        <w:textAlignment w:val="auto"/>
        <w:rPr>
          <w:rFonts w:ascii="黑体" w:hAnsi="黑体" w:eastAsia="黑体" w:cs="黑体"/>
          <w:color w:val="000000"/>
          <w:sz w:val="32"/>
          <w:szCs w:val="32"/>
        </w:rPr>
      </w:pPr>
      <w:r>
        <w:rPr>
          <w:rFonts w:hint="eastAsia" w:ascii="仿宋_GB2312" w:hAnsi="楷体" w:eastAsia="仿宋_GB2312" w:cstheme="minorBidi"/>
          <w:kern w:val="0"/>
          <w:sz w:val="32"/>
          <w:szCs w:val="32"/>
        </w:rPr>
        <w:t>1、着力凝聚共识，服务社会发展大局; 2、着力提质增效，强化职能作用发挥; 3、着力维护稳定，抓好民族宗教工作; 4、着力优化环境，推动非公领域发展; 5、着力守正创新，推进统战领域建设。</w:t>
      </w:r>
    </w:p>
    <w:p>
      <w:pPr>
        <w:keepNext w:val="0"/>
        <w:keepLines w:val="0"/>
        <w:pageBreakBefore w:val="0"/>
        <w:widowControl w:val="0"/>
        <w:kinsoku/>
        <w:wordWrap/>
        <w:overflowPunct/>
        <w:topLinePunct w:val="0"/>
        <w:bidi w:val="0"/>
        <w:spacing w:line="560" w:lineRule="exact"/>
        <w:textAlignment w:val="auto"/>
        <w:rPr>
          <w:rFonts w:ascii="仿宋_GB2312" w:hAnsi="楷体" w:eastAsia="仿宋_GB2312"/>
          <w:kern w:val="0"/>
          <w:sz w:val="32"/>
          <w:szCs w:val="32"/>
        </w:rPr>
      </w:pPr>
    </w:p>
    <w:p>
      <w:pPr>
        <w:keepNext w:val="0"/>
        <w:keepLines w:val="0"/>
        <w:pageBreakBefore w:val="0"/>
        <w:widowControl w:val="0"/>
        <w:kinsoku/>
        <w:wordWrap/>
        <w:overflowPunct/>
        <w:topLinePunct w:val="0"/>
        <w:bidi w:val="0"/>
        <w:spacing w:line="560" w:lineRule="exact"/>
        <w:jc w:val="center"/>
        <w:textAlignment w:val="auto"/>
        <w:rPr>
          <w:rFonts w:ascii="黑体" w:hAnsi="Times New Roman" w:eastAsia="黑体"/>
          <w:kern w:val="0"/>
          <w:sz w:val="32"/>
          <w:szCs w:val="32"/>
        </w:rPr>
      </w:pPr>
      <w:r>
        <w:rPr>
          <w:rFonts w:hint="eastAsia" w:ascii="黑体" w:hAnsi="Times New Roman" w:eastAsia="黑体"/>
          <w:kern w:val="0"/>
          <w:sz w:val="32"/>
          <w:szCs w:val="32"/>
        </w:rPr>
        <w:t>第二部分</w:t>
      </w:r>
      <w:r>
        <w:rPr>
          <w:rFonts w:ascii="黑体" w:hAnsi="Times New Roman" w:eastAsia="黑体"/>
          <w:kern w:val="0"/>
          <w:sz w:val="32"/>
          <w:szCs w:val="32"/>
        </w:rPr>
        <w:t xml:space="preserve">  2021</w:t>
      </w:r>
      <w:r>
        <w:rPr>
          <w:rFonts w:hint="eastAsia" w:ascii="黑体" w:hAnsi="Times New Roman" w:eastAsia="黑体"/>
          <w:kern w:val="0"/>
          <w:sz w:val="32"/>
          <w:szCs w:val="32"/>
        </w:rPr>
        <w:t>年度部门预算报表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年预算收支总表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年预算收入总表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楷体" w:eastAsia="仿宋_GB2312"/>
          <w:kern w:val="0"/>
          <w:sz w:val="32"/>
          <w:szCs w:val="32"/>
        </w:rPr>
        <w:t>襄汾县委统战部</w:t>
      </w:r>
      <w:r>
        <w:rPr>
          <w:rFonts w:ascii="仿宋_GB2312" w:hAnsi="宋体" w:eastAsia="仿宋_GB2312"/>
          <w:sz w:val="32"/>
          <w:szCs w:val="32"/>
        </w:rPr>
        <w:t>021</w:t>
      </w:r>
      <w:r>
        <w:rPr>
          <w:rFonts w:hint="eastAsia" w:ascii="仿宋_GB2312" w:hAnsi="宋体" w:eastAsia="仿宋_GB2312"/>
          <w:sz w:val="32"/>
          <w:szCs w:val="32"/>
        </w:rPr>
        <w:t>年预算支出总表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四、</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年财政拨款预算收支总表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年一般公共预算支出预算表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六、</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年一般公共预算安排基本支出部门经济分类表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七</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年政府性基金收入预算表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八、</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年政府性基金支出预算表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九、</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年“三公”经费预算财政拨款情况表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十、</w:t>
      </w:r>
      <w:r>
        <w:rPr>
          <w:rFonts w:hint="eastAsia" w:ascii="仿宋_GB2312" w:hAnsi="楷体" w:eastAsia="仿宋_GB2312"/>
          <w:kern w:val="0"/>
          <w:sz w:val="32"/>
          <w:szCs w:val="32"/>
        </w:rPr>
        <w:t>襄汾县委统战部</w:t>
      </w:r>
      <w:r>
        <w:rPr>
          <w:rFonts w:ascii="仿宋_GB2312" w:hAnsi="宋体" w:eastAsia="仿宋_GB2312"/>
          <w:sz w:val="32"/>
          <w:szCs w:val="32"/>
        </w:rPr>
        <w:t>2021</w:t>
      </w:r>
      <w:r>
        <w:rPr>
          <w:rFonts w:hint="eastAsia" w:ascii="仿宋_GB2312" w:hAnsi="宋体" w:eastAsia="仿宋_GB2312"/>
          <w:sz w:val="32"/>
          <w:szCs w:val="32"/>
        </w:rPr>
        <w:t>年机关运行经费</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kern w:val="0"/>
          <w:sz w:val="32"/>
          <w:szCs w:val="32"/>
        </w:rPr>
      </w:pPr>
      <w:r>
        <w:rPr>
          <w:rFonts w:hint="eastAsia" w:ascii="仿宋_GB2312" w:hAnsi="宋体" w:eastAsia="仿宋_GB2312"/>
          <w:sz w:val="32"/>
          <w:szCs w:val="32"/>
        </w:rPr>
        <w:t>十一、</w:t>
      </w:r>
      <w:r>
        <w:rPr>
          <w:rFonts w:hint="eastAsia" w:ascii="仿宋_GB2312" w:hAnsi="楷体" w:eastAsia="仿宋_GB2312"/>
          <w:kern w:val="0"/>
          <w:sz w:val="32"/>
          <w:szCs w:val="32"/>
        </w:rPr>
        <w:t>襄汾县委统战部</w:t>
      </w:r>
      <w:r>
        <w:rPr>
          <w:rFonts w:ascii="仿宋_GB2312" w:hAnsi="楷体" w:eastAsia="仿宋_GB2312"/>
          <w:kern w:val="0"/>
          <w:sz w:val="32"/>
          <w:szCs w:val="32"/>
        </w:rPr>
        <w:t>2021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2"/>
        </w:rPr>
      </w:pPr>
      <w:r>
        <w:rPr>
          <w:rFonts w:hint="eastAsia" w:ascii="仿宋_GB2312" w:hAnsi="楷体" w:eastAsia="仿宋_GB2312"/>
          <w:kern w:val="0"/>
          <w:sz w:val="32"/>
          <w:szCs w:val="32"/>
        </w:rPr>
        <w:t>十二、襄汾县委统战部</w:t>
      </w:r>
      <w:r>
        <w:rPr>
          <w:rFonts w:ascii="仿宋_GB2312" w:hAnsi="宋体" w:eastAsia="仿宋_GB2312"/>
          <w:sz w:val="32"/>
          <w:szCs w:val="32"/>
        </w:rPr>
        <w:t>2021</w:t>
      </w:r>
      <w:r>
        <w:rPr>
          <w:rFonts w:hint="eastAsia" w:ascii="仿宋_GB2312" w:hAnsi="宋体" w:eastAsia="仿宋_GB2312"/>
          <w:sz w:val="32"/>
          <w:szCs w:val="32"/>
        </w:rPr>
        <w:t>年项目支出绩效目标表</w:t>
      </w:r>
    </w:p>
    <w:p>
      <w:pPr>
        <w:keepNext w:val="0"/>
        <w:keepLines w:val="0"/>
        <w:pageBreakBefore w:val="0"/>
        <w:widowControl w:val="0"/>
        <w:kinsoku/>
        <w:wordWrap/>
        <w:overflowPunct/>
        <w:topLinePunct w:val="0"/>
        <w:bidi w:val="0"/>
        <w:spacing w:line="56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bidi w:val="0"/>
        <w:spacing w:line="560" w:lineRule="exact"/>
        <w:jc w:val="center"/>
        <w:textAlignment w:val="auto"/>
        <w:rPr>
          <w:rFonts w:ascii="黑体" w:hAnsi="Times New Roman" w:eastAsia="黑体"/>
          <w:kern w:val="0"/>
          <w:sz w:val="32"/>
          <w:szCs w:val="32"/>
        </w:rPr>
      </w:pPr>
      <w:r>
        <w:rPr>
          <w:rFonts w:hint="eastAsia" w:ascii="黑体" w:hAnsi="Times New Roman" w:eastAsia="黑体"/>
          <w:kern w:val="0"/>
          <w:sz w:val="32"/>
          <w:szCs w:val="32"/>
        </w:rPr>
        <w:t>第三部分</w:t>
      </w:r>
      <w:r>
        <w:rPr>
          <w:rFonts w:ascii="黑体" w:hAnsi="Times New Roman" w:eastAsia="黑体"/>
          <w:kern w:val="0"/>
          <w:sz w:val="32"/>
          <w:szCs w:val="32"/>
        </w:rPr>
        <w:t xml:space="preserve">  2021</w:t>
      </w:r>
      <w:r>
        <w:rPr>
          <w:rFonts w:hint="eastAsia" w:ascii="黑体" w:hAnsi="Times New Roman" w:eastAsia="黑体"/>
          <w:kern w:val="0"/>
          <w:sz w:val="32"/>
          <w:szCs w:val="32"/>
        </w:rPr>
        <w:t>年度部门预算情况说明</w:t>
      </w:r>
    </w:p>
    <w:p>
      <w:pPr>
        <w:keepNext w:val="0"/>
        <w:keepLines w:val="0"/>
        <w:pageBreakBefore w:val="0"/>
        <w:widowControl w:val="0"/>
        <w:numPr>
          <w:ilvl w:val="255"/>
          <w:numId w:val="0"/>
        </w:numPr>
        <w:kinsoku/>
        <w:wordWrap/>
        <w:overflowPunct/>
        <w:topLinePunct w:val="0"/>
        <w:bidi w:val="0"/>
        <w:spacing w:line="560" w:lineRule="exac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襄汾县委统战部</w:t>
      </w:r>
      <w:r>
        <w:rPr>
          <w:rFonts w:ascii="仿宋_GB2312" w:hAnsi="楷体" w:eastAsia="仿宋_GB2312"/>
          <w:kern w:val="0"/>
          <w:sz w:val="32"/>
          <w:szCs w:val="32"/>
        </w:rPr>
        <w:t>2021</w:t>
      </w:r>
      <w:r>
        <w:rPr>
          <w:rFonts w:hint="eastAsia" w:ascii="仿宋_GB2312" w:hAnsi="楷体" w:eastAsia="仿宋_GB2312"/>
          <w:kern w:val="0"/>
          <w:sz w:val="32"/>
          <w:szCs w:val="32"/>
        </w:rPr>
        <w:t>年度收入、支出预算总计</w:t>
      </w:r>
      <w:r>
        <w:rPr>
          <w:rFonts w:ascii="仿宋_GB2312" w:hAnsi="楷体" w:eastAsia="仿宋_GB2312"/>
          <w:kern w:val="0"/>
          <w:sz w:val="32"/>
          <w:szCs w:val="32"/>
          <w:u w:val="none"/>
        </w:rPr>
        <w:t>142.73</w:t>
      </w:r>
      <w:r>
        <w:rPr>
          <w:rFonts w:hint="eastAsia" w:ascii="仿宋_GB2312" w:hAnsi="楷体" w:eastAsia="仿宋_GB2312"/>
          <w:kern w:val="0"/>
          <w:sz w:val="32"/>
          <w:szCs w:val="32"/>
        </w:rPr>
        <w:t>万元，与上年相比收、支预算总计各增加</w:t>
      </w:r>
      <w:r>
        <w:rPr>
          <w:rFonts w:ascii="仿宋_GB2312" w:hAnsi="楷体" w:eastAsia="仿宋_GB2312"/>
          <w:kern w:val="0"/>
          <w:sz w:val="32"/>
          <w:szCs w:val="32"/>
        </w:rPr>
        <w:t>12.12</w:t>
      </w:r>
      <w:r>
        <w:rPr>
          <w:rFonts w:hint="eastAsia" w:ascii="仿宋_GB2312" w:hAnsi="楷体" w:eastAsia="仿宋_GB2312"/>
          <w:kern w:val="0"/>
          <w:sz w:val="32"/>
          <w:szCs w:val="32"/>
        </w:rPr>
        <w:t>万元，增长</w:t>
      </w:r>
      <w:r>
        <w:rPr>
          <w:rFonts w:ascii="仿宋_GB2312" w:hAnsi="楷体" w:eastAsia="仿宋_GB2312"/>
          <w:kern w:val="0"/>
          <w:sz w:val="32"/>
          <w:szCs w:val="32"/>
          <w:u w:val="none"/>
        </w:rPr>
        <w:t>9.28</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ascii="仿宋_GB2312" w:hAnsi="楷体" w:eastAsia="仿宋_GB2312"/>
          <w:kern w:val="0"/>
          <w:sz w:val="32"/>
          <w:szCs w:val="32"/>
          <w:u w:val="none"/>
        </w:rPr>
        <w:t>142.73</w:t>
      </w:r>
      <w:r>
        <w:rPr>
          <w:rFonts w:hint="eastAsia" w:ascii="仿宋_GB2312" w:hAnsi="楷体" w:eastAsia="仿宋_GB2312"/>
          <w:kern w:val="0"/>
          <w:sz w:val="32"/>
          <w:szCs w:val="32"/>
        </w:rPr>
        <w:t>万元。包括：</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ascii="仿宋_GB2312" w:hAnsi="楷体" w:eastAsia="仿宋_GB2312"/>
          <w:kern w:val="0"/>
          <w:sz w:val="32"/>
          <w:szCs w:val="32"/>
          <w:u w:val="none"/>
        </w:rPr>
        <w:t>142.73</w:t>
      </w:r>
      <w:r>
        <w:rPr>
          <w:rFonts w:hint="eastAsia" w:ascii="仿宋_GB2312" w:hAnsi="楷体" w:eastAsia="仿宋_GB2312"/>
          <w:kern w:val="0"/>
          <w:sz w:val="32"/>
          <w:szCs w:val="32"/>
        </w:rPr>
        <w:t>万元。</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rPr>
        <w:t>142.73</w:t>
      </w:r>
      <w:r>
        <w:rPr>
          <w:rFonts w:hint="eastAsia" w:ascii="仿宋_GB2312" w:hAnsi="楷体" w:eastAsia="仿宋_GB2312"/>
          <w:kern w:val="0"/>
          <w:sz w:val="32"/>
          <w:szCs w:val="32"/>
        </w:rPr>
        <w:t>万元，与上年相比增加</w:t>
      </w:r>
      <w:r>
        <w:rPr>
          <w:rFonts w:ascii="仿宋_GB2312" w:hAnsi="楷体" w:eastAsia="仿宋_GB2312"/>
          <w:kern w:val="0"/>
          <w:sz w:val="32"/>
          <w:szCs w:val="32"/>
        </w:rPr>
        <w:t>12.12</w:t>
      </w:r>
      <w:r>
        <w:rPr>
          <w:rFonts w:hint="eastAsia" w:ascii="仿宋_GB2312" w:hAnsi="楷体" w:eastAsia="仿宋_GB2312"/>
          <w:kern w:val="0"/>
          <w:sz w:val="32"/>
          <w:szCs w:val="32"/>
        </w:rPr>
        <w:t>万元，增长</w:t>
      </w:r>
      <w:r>
        <w:rPr>
          <w:rFonts w:ascii="仿宋_GB2312" w:hAnsi="楷体" w:eastAsia="仿宋_GB2312"/>
          <w:kern w:val="0"/>
          <w:sz w:val="32"/>
          <w:szCs w:val="32"/>
        </w:rPr>
        <w:t>9.28%</w:t>
      </w:r>
      <w:r>
        <w:rPr>
          <w:rFonts w:hint="eastAsia" w:ascii="仿宋_GB2312" w:hAnsi="楷体" w:eastAsia="仿宋_GB2312"/>
          <w:kern w:val="0"/>
          <w:sz w:val="32"/>
          <w:szCs w:val="32"/>
        </w:rPr>
        <w:t>。主要原因是</w:t>
      </w:r>
      <w:r>
        <w:rPr>
          <w:rFonts w:hint="eastAsia" w:ascii="仿宋_GB2312" w:hAnsi="仿宋_GB2312" w:eastAsia="仿宋_GB2312" w:cs="仿宋_GB2312"/>
          <w:spacing w:val="0"/>
          <w:sz w:val="32"/>
          <w:szCs w:val="32"/>
          <w:u w:val="none"/>
          <w:lang w:val="en-US" w:eastAsia="zh-CN"/>
        </w:rPr>
        <w:t>人员晋升职务职级、升档升级，各项保险补助增加</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。主要原因无。</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。主要原因无。</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国有资本经营收入预算总计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。主要原因无。</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4</w:t>
      </w:r>
      <w:r>
        <w:rPr>
          <w:rFonts w:hint="eastAsia" w:ascii="仿宋_GB2312" w:hAnsi="楷体" w:eastAsia="仿宋_GB2312"/>
          <w:kern w:val="0"/>
          <w:sz w:val="32"/>
          <w:szCs w:val="32"/>
        </w:rPr>
        <w:t>．其他资金收入预算总计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。主要原因无。</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142.73</w:t>
      </w:r>
      <w:r>
        <w:rPr>
          <w:rFonts w:hint="eastAsia" w:ascii="仿宋_GB2312" w:hAnsi="楷体" w:eastAsia="仿宋_GB2312"/>
          <w:kern w:val="0"/>
          <w:sz w:val="32"/>
          <w:szCs w:val="32"/>
        </w:rPr>
        <w:t>万元。包括：</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rPr>
        <w:t>113.85</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统战部日常工作</w:t>
      </w:r>
      <w:r>
        <w:rPr>
          <w:rFonts w:hint="eastAsia" w:ascii="仿宋_GB2312" w:hAnsi="楷体" w:eastAsia="仿宋_GB2312"/>
          <w:kern w:val="0"/>
          <w:sz w:val="32"/>
          <w:szCs w:val="32"/>
        </w:rPr>
        <w:t>。与上年相比增加</w:t>
      </w:r>
      <w:r>
        <w:rPr>
          <w:rFonts w:ascii="仿宋_GB2312" w:hAnsi="楷体" w:eastAsia="仿宋_GB2312"/>
          <w:kern w:val="0"/>
          <w:sz w:val="32"/>
          <w:szCs w:val="32"/>
        </w:rPr>
        <w:t>10.72</w:t>
      </w:r>
      <w:r>
        <w:rPr>
          <w:rFonts w:hint="eastAsia" w:ascii="仿宋_GB2312" w:hAnsi="楷体" w:eastAsia="仿宋_GB2312"/>
          <w:kern w:val="0"/>
          <w:sz w:val="32"/>
          <w:szCs w:val="32"/>
        </w:rPr>
        <w:t>万元，增长</w:t>
      </w:r>
      <w:r>
        <w:rPr>
          <w:rFonts w:ascii="仿宋_GB2312" w:hAnsi="楷体" w:eastAsia="仿宋_GB2312"/>
          <w:kern w:val="0"/>
          <w:sz w:val="32"/>
          <w:szCs w:val="32"/>
        </w:rPr>
        <w:t>10.39%</w:t>
      </w:r>
      <w:r>
        <w:rPr>
          <w:rFonts w:hint="eastAsia" w:ascii="仿宋_GB2312" w:hAnsi="楷体" w:eastAsia="仿宋_GB2312"/>
          <w:kern w:val="0"/>
          <w:sz w:val="32"/>
          <w:szCs w:val="32"/>
        </w:rPr>
        <w:t>。主要原因是</w:t>
      </w:r>
      <w:r>
        <w:rPr>
          <w:rFonts w:hint="eastAsia" w:ascii="仿宋_GB2312" w:hAnsi="仿宋_GB2312" w:eastAsia="仿宋_GB2312" w:cs="仿宋_GB2312"/>
          <w:spacing w:val="0"/>
          <w:sz w:val="32"/>
          <w:szCs w:val="32"/>
          <w:u w:val="none"/>
          <w:lang w:val="en-US" w:eastAsia="zh-CN"/>
        </w:rPr>
        <w:t>人员晋升职务职级、升档升级，各项保险补助增加</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仿宋_GB2312" w:eastAsia="仿宋_GB2312" w:cs="仿宋_GB2312"/>
          <w:spacing w:val="0"/>
          <w:kern w:val="0"/>
          <w:sz w:val="32"/>
          <w:szCs w:val="32"/>
          <w:u w:val="none"/>
        </w:rPr>
        <w:t>公共安全（类）支出</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pacing w:line="600" w:lineRule="exact"/>
        <w:ind w:firstLine="640"/>
        <w:jc w:val="both"/>
        <w:textAlignment w:val="auto"/>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117.09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2.68</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2.34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仿宋_GB2312" w:eastAsia="仿宋_GB2312" w:cs="仿宋_GB2312"/>
          <w:spacing w:val="0"/>
          <w:sz w:val="32"/>
          <w:szCs w:val="32"/>
          <w:u w:val="none"/>
          <w:lang w:val="en-US" w:eastAsia="zh-CN"/>
        </w:rPr>
        <w:t>人员晋升职务职级、升档升级，各项保险补助增加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25.64</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9.44</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58.27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增加了侨联业务费、宗教群众集聚村业务费、</w:t>
      </w:r>
      <w:r>
        <w:rPr>
          <w:rFonts w:hint="eastAsia" w:ascii="仿宋_GB2312" w:hAnsi="楷体" w:eastAsia="仿宋_GB2312"/>
          <w:kern w:val="0"/>
          <w:sz w:val="32"/>
          <w:szCs w:val="32"/>
          <w:highlight w:val="none"/>
          <w:lang w:val="en-US" w:eastAsia="zh-CN"/>
        </w:rPr>
        <w:t>文明单位奖金等。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襄汾县委统战部本年收入预算合计</w:t>
      </w:r>
      <w:r>
        <w:rPr>
          <w:rFonts w:ascii="仿宋_GB2312" w:hAnsi="楷体" w:eastAsia="仿宋_GB2312"/>
          <w:kern w:val="0"/>
          <w:sz w:val="32"/>
          <w:szCs w:val="32"/>
          <w:u w:val="none"/>
        </w:rPr>
        <w:t>142.73</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none"/>
        </w:rPr>
        <w:t>142.73</w:t>
      </w:r>
      <w:r>
        <w:rPr>
          <w:rFonts w:hint="eastAsia" w:ascii="仿宋_GB2312" w:hAnsi="楷体" w:eastAsia="仿宋_GB2312"/>
          <w:kern w:val="0"/>
          <w:sz w:val="32"/>
          <w:szCs w:val="32"/>
        </w:rPr>
        <w:t>万元，占</w:t>
      </w:r>
      <w:r>
        <w:rPr>
          <w:rFonts w:ascii="仿宋_GB2312" w:hAnsi="楷体" w:eastAsia="仿宋_GB2312"/>
          <w:kern w:val="0"/>
          <w:sz w:val="32"/>
          <w:szCs w:val="32"/>
          <w:u w:val="none"/>
        </w:rPr>
        <w:t>100%</w:t>
      </w:r>
      <w:r>
        <w:rPr>
          <w:rFonts w:hint="eastAsia" w:ascii="仿宋_GB2312" w:hAnsi="楷体" w:eastAsia="仿宋_GB2312"/>
          <w:kern w:val="0"/>
          <w:sz w:val="32"/>
          <w:szCs w:val="32"/>
        </w:rPr>
        <w:t>；</w:t>
      </w:r>
      <w:r>
        <w:rPr>
          <w:rFonts w:hint="eastAsia" w:ascii="仿宋_GB2312" w:hAnsi="仿宋_GB2312" w:eastAsia="仿宋_GB2312" w:cs="仿宋_GB2312"/>
          <w:spacing w:val="0"/>
          <w:kern w:val="0"/>
          <w:sz w:val="32"/>
          <w:szCs w:val="32"/>
          <w:u w:val="none"/>
        </w:rPr>
        <w:t>政府性基金预算收入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%；财政专户管理资金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%；国有资本经营预算收入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 xml:space="preserve"> %；其他资金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襄汾县委统战部本年支出预算合计</w:t>
      </w:r>
      <w:r>
        <w:rPr>
          <w:rFonts w:ascii="仿宋_GB2312" w:hAnsi="楷体" w:eastAsia="仿宋_GB2312"/>
          <w:kern w:val="0"/>
          <w:sz w:val="32"/>
          <w:szCs w:val="32"/>
          <w:u w:val="none"/>
        </w:rPr>
        <w:t>142.73</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117.09</w:t>
      </w:r>
      <w:r>
        <w:rPr>
          <w:rFonts w:hint="eastAsia" w:ascii="仿宋_GB2312" w:hAnsi="楷体" w:eastAsia="仿宋_GB2312"/>
          <w:kern w:val="0"/>
          <w:sz w:val="32"/>
          <w:szCs w:val="32"/>
        </w:rPr>
        <w:t>万元，占</w:t>
      </w:r>
      <w:r>
        <w:rPr>
          <w:rFonts w:ascii="仿宋_GB2312" w:hAnsi="楷体" w:eastAsia="仿宋_GB2312"/>
          <w:kern w:val="0"/>
          <w:sz w:val="32"/>
          <w:szCs w:val="32"/>
          <w:u w:val="none"/>
        </w:rPr>
        <w:t>82.04</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ascii="仿宋_GB2312" w:hAnsi="楷体" w:eastAsia="仿宋_GB2312"/>
          <w:kern w:val="0"/>
          <w:sz w:val="32"/>
          <w:szCs w:val="32"/>
          <w:u w:val="none"/>
        </w:rPr>
        <w:t>25.64</w:t>
      </w:r>
      <w:r>
        <w:rPr>
          <w:rFonts w:hint="eastAsia" w:ascii="仿宋_GB2312" w:hAnsi="楷体" w:eastAsia="仿宋_GB2312"/>
          <w:kern w:val="0"/>
          <w:sz w:val="32"/>
          <w:szCs w:val="32"/>
        </w:rPr>
        <w:t>万元，占</w:t>
      </w:r>
      <w:r>
        <w:rPr>
          <w:rFonts w:ascii="仿宋_GB2312" w:hAnsi="楷体" w:eastAsia="仿宋_GB2312"/>
          <w:kern w:val="0"/>
          <w:sz w:val="32"/>
          <w:szCs w:val="32"/>
          <w:u w:val="none"/>
        </w:rPr>
        <w:t>17.96</w:t>
      </w:r>
      <w:r>
        <w:rPr>
          <w:rFonts w:ascii="仿宋_GB2312" w:hAnsi="楷体" w:eastAsia="仿宋_GB2312"/>
          <w:kern w:val="0"/>
          <w:sz w:val="32"/>
          <w:szCs w:val="32"/>
        </w:rPr>
        <w:t xml:space="preserve"> %</w:t>
      </w:r>
      <w:r>
        <w:rPr>
          <w:rFonts w:hint="eastAsia" w:ascii="仿宋_GB2312" w:hAnsi="楷体" w:eastAsia="仿宋_GB2312"/>
          <w:kern w:val="0"/>
          <w:sz w:val="32"/>
          <w:szCs w:val="32"/>
        </w:rPr>
        <w:t>。</w:t>
      </w:r>
      <w:r>
        <w:rPr>
          <w:rFonts w:ascii="仿宋_GB2312" w:hAnsi="楷体" w:eastAsia="仿宋_GB2312"/>
          <w:kern w:val="0"/>
          <w:sz w:val="32"/>
          <w:szCs w:val="32"/>
        </w:rPr>
        <w:t xml:space="preserve"> </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襄汾县委统战部</w:t>
      </w:r>
      <w:r>
        <w:rPr>
          <w:rFonts w:ascii="仿宋_GB2312" w:hAnsi="楷体" w:eastAsia="仿宋_GB2312"/>
          <w:kern w:val="0"/>
          <w:sz w:val="32"/>
          <w:szCs w:val="32"/>
        </w:rPr>
        <w:t>2021</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142.73</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12.12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9.28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仿宋_GB2312" w:eastAsia="仿宋_GB2312" w:cs="仿宋_GB2312"/>
          <w:spacing w:val="0"/>
          <w:sz w:val="32"/>
          <w:szCs w:val="32"/>
          <w:u w:val="none"/>
          <w:lang w:val="en-US" w:eastAsia="zh-CN"/>
        </w:rPr>
        <w:t>人员晋升职务职级、升档升级，各项保险补助增</w:t>
      </w:r>
      <w:r>
        <w:rPr>
          <w:rFonts w:hint="eastAsia" w:ascii="仿宋_GB2312" w:hAnsi="仿宋_GB2312" w:eastAsia="仿宋_GB2312" w:cs="仿宋_GB2312"/>
          <w:spacing w:val="0"/>
          <w:sz w:val="32"/>
          <w:szCs w:val="32"/>
          <w:highlight w:val="none"/>
          <w:u w:val="none"/>
          <w:lang w:val="en-US" w:eastAsia="zh-CN"/>
        </w:rPr>
        <w:t>加</w:t>
      </w:r>
      <w:r>
        <w:rPr>
          <w:rFonts w:hint="eastAsia" w:ascii="仿宋_GB2312" w:hAnsi="楷体" w:eastAsia="仿宋_GB2312"/>
          <w:kern w:val="0"/>
          <w:sz w:val="32"/>
          <w:szCs w:val="32"/>
          <w:highlight w:val="none"/>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keepNext w:val="0"/>
        <w:keepLines w:val="0"/>
        <w:pageBreakBefore w:val="0"/>
        <w:widowControl w:val="0"/>
        <w:kinsoku/>
        <w:wordWrap/>
        <w:overflowPunct/>
        <w:topLinePunct w:val="0"/>
        <w:bidi w:val="0"/>
        <w:spacing w:line="560" w:lineRule="exact"/>
        <w:ind w:firstLine="641"/>
        <w:textAlignment w:val="auto"/>
        <w:rPr>
          <w:rFonts w:ascii="仿宋_GB2312" w:hAnsi="楷体" w:eastAsia="仿宋_GB2312"/>
          <w:kern w:val="0"/>
          <w:sz w:val="32"/>
          <w:szCs w:val="32"/>
        </w:rPr>
      </w:pPr>
      <w:r>
        <w:rPr>
          <w:rFonts w:hint="eastAsia" w:ascii="仿宋_GB2312" w:hAnsi="楷体" w:eastAsia="仿宋_GB2312"/>
          <w:kern w:val="0"/>
          <w:sz w:val="32"/>
          <w:szCs w:val="32"/>
        </w:rPr>
        <w:t>襄汾县委统战部</w:t>
      </w:r>
      <w:r>
        <w:rPr>
          <w:rFonts w:ascii="仿宋_GB2312" w:hAnsi="楷体" w:eastAsia="仿宋_GB2312"/>
          <w:kern w:val="0"/>
          <w:sz w:val="32"/>
          <w:szCs w:val="32"/>
        </w:rPr>
        <w:t>2021</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142.73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12.12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9.28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仿宋_GB2312" w:eastAsia="仿宋_GB2312" w:cs="仿宋_GB2312"/>
          <w:spacing w:val="0"/>
          <w:sz w:val="32"/>
          <w:szCs w:val="32"/>
          <w:u w:val="none"/>
          <w:lang w:val="en-US" w:eastAsia="zh-CN"/>
        </w:rPr>
        <w:t>人员晋升职务职级、升档升级，各项保险补助增加。</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keepNext w:val="0"/>
        <w:keepLines w:val="0"/>
        <w:pageBreakBefore w:val="0"/>
        <w:widowControl w:val="0"/>
        <w:kinsoku/>
        <w:wordWrap/>
        <w:overflowPunct/>
        <w:topLinePunct w:val="0"/>
        <w:bidi w:val="0"/>
        <w:spacing w:line="560" w:lineRule="exact"/>
        <w:ind w:firstLine="641"/>
        <w:textAlignment w:val="auto"/>
        <w:rPr>
          <w:rFonts w:ascii="仿宋_GB2312" w:hAnsi="楷体" w:eastAsia="仿宋_GB2312"/>
          <w:kern w:val="0"/>
          <w:sz w:val="32"/>
          <w:szCs w:val="32"/>
        </w:rPr>
      </w:pPr>
      <w:r>
        <w:rPr>
          <w:rFonts w:hint="eastAsia" w:ascii="仿宋_GB2312" w:hAnsi="楷体" w:eastAsia="仿宋_GB2312"/>
          <w:kern w:val="0"/>
          <w:sz w:val="32"/>
          <w:szCs w:val="32"/>
        </w:rPr>
        <w:t>襄汾县委统战部</w:t>
      </w:r>
      <w:r>
        <w:rPr>
          <w:rFonts w:ascii="仿宋_GB2312" w:hAnsi="楷体" w:eastAsia="仿宋_GB2312"/>
          <w:kern w:val="0"/>
          <w:sz w:val="32"/>
          <w:szCs w:val="32"/>
        </w:rPr>
        <w:t>2021</w:t>
      </w:r>
      <w:r>
        <w:rPr>
          <w:rFonts w:hint="eastAsia" w:ascii="仿宋_GB2312" w:hAnsi="楷体" w:eastAsia="仿宋_GB2312"/>
          <w:kern w:val="0"/>
          <w:sz w:val="32"/>
          <w:szCs w:val="32"/>
        </w:rPr>
        <w:t>年度一般公共预算基本支出预算</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万元，其中：</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107.28</w:t>
      </w:r>
      <w:r>
        <w:rPr>
          <w:rFonts w:hint="eastAsia" w:ascii="仿宋_GB2312" w:hAnsi="楷体" w:eastAsia="仿宋_GB2312"/>
          <w:kern w:val="0"/>
          <w:sz w:val="32"/>
          <w:szCs w:val="32"/>
        </w:rPr>
        <w:t>万元。主要包括：</w:t>
      </w:r>
      <w:r>
        <w:rPr>
          <w:rFonts w:hint="eastAsia" w:ascii="仿宋_GB2312" w:hAnsi="仿宋_GB2312" w:eastAsia="仿宋_GB2312" w:cs="仿宋_GB2312"/>
          <w:spacing w:val="0"/>
          <w:kern w:val="0"/>
          <w:sz w:val="32"/>
          <w:szCs w:val="32"/>
          <w:u w:val="none"/>
        </w:rPr>
        <w:t>基本工资、津贴补贴、奖金、社会保障缴费、绩效工资、其他工资福利支出、住房公积金、奖励金、退休费</w:t>
      </w:r>
      <w:r>
        <w:rPr>
          <w:rFonts w:hint="eastAsia" w:ascii="仿宋_GB2312" w:hAnsi="仿宋_GB2312" w:eastAsia="仿宋_GB2312" w:cs="仿宋_GB2312"/>
          <w:spacing w:val="0"/>
          <w:kern w:val="0"/>
          <w:sz w:val="32"/>
          <w:szCs w:val="32"/>
          <w:u w:val="none"/>
          <w:lang w:val="en-US" w:eastAsia="zh-CN"/>
        </w:rPr>
        <w:t>等。</w:t>
      </w:r>
    </w:p>
    <w:p>
      <w:pPr>
        <w:keepNext w:val="0"/>
        <w:keepLines w:val="0"/>
        <w:pageBreakBefore w:val="0"/>
        <w:widowControl w:val="0"/>
        <w:kinsoku/>
        <w:wordWrap/>
        <w:overflowPunct/>
        <w:topLinePunct w:val="0"/>
        <w:autoSpaceDE w:val="0"/>
        <w:autoSpaceDN w:val="0"/>
        <w:bidi w:val="0"/>
        <w:adjustRightInd w:val="0"/>
        <w:spacing w:line="600" w:lineRule="exact"/>
        <w:ind w:firstLine="641"/>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9.81</w:t>
      </w:r>
      <w:r>
        <w:rPr>
          <w:rFonts w:hint="eastAsia" w:ascii="仿宋_GB2312" w:hAnsi="楷体" w:eastAsia="仿宋_GB2312"/>
          <w:kern w:val="0"/>
          <w:sz w:val="32"/>
          <w:szCs w:val="32"/>
        </w:rPr>
        <w:t>万元。主要包括：</w:t>
      </w:r>
      <w:r>
        <w:rPr>
          <w:rFonts w:hint="eastAsia" w:ascii="仿宋_GB2312" w:hAnsi="仿宋_GB2312" w:eastAsia="仿宋_GB2312" w:cs="仿宋_GB2312"/>
          <w:spacing w:val="0"/>
          <w:kern w:val="0"/>
          <w:sz w:val="32"/>
          <w:szCs w:val="32"/>
          <w:u w:val="none"/>
        </w:rPr>
        <w:t>办公费、印刷费、邮电费、差旅费、其他交通费用、其他商品和服务支出</w:t>
      </w:r>
      <w:r>
        <w:rPr>
          <w:rFonts w:hint="eastAsia" w:ascii="仿宋_GB2312" w:hAnsi="仿宋_GB2312" w:eastAsia="仿宋_GB2312" w:cs="仿宋_GB2312"/>
          <w:spacing w:val="0"/>
          <w:kern w:val="0"/>
          <w:sz w:val="32"/>
          <w:szCs w:val="32"/>
          <w:u w:val="none"/>
          <w:lang w:val="en-US" w:eastAsia="zh-CN"/>
        </w:rPr>
        <w:t>等。</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ascii="仿宋_GB2312" w:hAnsi="楷体" w:eastAsia="仿宋_GB2312"/>
          <w:kern w:val="0"/>
          <w:sz w:val="32"/>
          <w:szCs w:val="32"/>
        </w:rPr>
      </w:pPr>
      <w:r>
        <w:rPr>
          <w:rFonts w:hint="eastAsia" w:ascii="仿宋_GB2312" w:hAnsi="楷体" w:eastAsia="仿宋_GB2312"/>
          <w:kern w:val="0"/>
          <w:sz w:val="32"/>
          <w:szCs w:val="32"/>
        </w:rPr>
        <w:t>襄汾县委统战部</w:t>
      </w:r>
      <w:r>
        <w:rPr>
          <w:rFonts w:ascii="仿宋_GB2312" w:hAnsi="楷体" w:eastAsia="仿宋_GB2312"/>
          <w:kern w:val="0"/>
          <w:sz w:val="32"/>
          <w:szCs w:val="32"/>
        </w:rPr>
        <w:t>2021</w:t>
      </w:r>
      <w:r>
        <w:rPr>
          <w:rFonts w:hint="eastAsia" w:ascii="仿宋_GB2312" w:hAnsi="楷体" w:eastAsia="仿宋_GB2312"/>
          <w:kern w:val="0"/>
          <w:sz w:val="32"/>
          <w:szCs w:val="32"/>
        </w:rPr>
        <w:t>年</w:t>
      </w:r>
      <w:r>
        <w:rPr>
          <w:rFonts w:hint="eastAsia" w:ascii="仿宋_GB2312" w:hAnsi="楷体" w:eastAsia="仿宋_GB2312" w:cstheme="minorBidi"/>
          <w:kern w:val="0"/>
          <w:sz w:val="32"/>
          <w:szCs w:val="32"/>
        </w:rPr>
        <w:t>政府性基金支出预算支出</w:t>
      </w:r>
      <w:r>
        <w:rPr>
          <w:rFonts w:hint="eastAsia" w:ascii="仿宋_GB2312" w:hAnsi="楷体" w:eastAsia="仿宋_GB2312" w:cstheme="minorBidi"/>
          <w:kern w:val="0"/>
          <w:sz w:val="32"/>
          <w:szCs w:val="32"/>
          <w:lang w:val="en-US" w:eastAsia="zh-CN"/>
        </w:rPr>
        <w:t>0</w:t>
      </w:r>
      <w:r>
        <w:rPr>
          <w:rFonts w:hint="eastAsia" w:ascii="仿宋_GB2312" w:hAnsi="楷体" w:eastAsia="仿宋_GB2312" w:cstheme="minorBidi"/>
          <w:kern w:val="0"/>
          <w:sz w:val="32"/>
          <w:szCs w:val="32"/>
        </w:rPr>
        <w:t>万元。与上年相比增加（减少）</w:t>
      </w:r>
      <w:r>
        <w:rPr>
          <w:rFonts w:hint="eastAsia" w:ascii="仿宋_GB2312" w:hAnsi="楷体" w:eastAsia="仿宋_GB2312" w:cstheme="minorBidi"/>
          <w:kern w:val="0"/>
          <w:sz w:val="32"/>
          <w:szCs w:val="32"/>
          <w:lang w:val="en-US" w:eastAsia="zh-CN"/>
        </w:rPr>
        <w:t>0</w:t>
      </w:r>
      <w:r>
        <w:rPr>
          <w:rFonts w:hint="eastAsia" w:ascii="仿宋_GB2312" w:hAnsi="楷体" w:eastAsia="仿宋_GB2312" w:cstheme="minorBidi"/>
          <w:kern w:val="0"/>
          <w:sz w:val="32"/>
          <w:szCs w:val="32"/>
        </w:rPr>
        <w:t>万元，增长（减少）</w:t>
      </w:r>
      <w:r>
        <w:rPr>
          <w:rFonts w:hint="eastAsia" w:ascii="仿宋_GB2312" w:hAnsi="楷体" w:eastAsia="仿宋_GB2312" w:cstheme="minorBidi"/>
          <w:kern w:val="0"/>
          <w:sz w:val="32"/>
          <w:szCs w:val="32"/>
          <w:lang w:val="en-US" w:eastAsia="zh-CN"/>
        </w:rPr>
        <w:t>0</w:t>
      </w:r>
      <w:r>
        <w:rPr>
          <w:rFonts w:hint="eastAsia" w:ascii="仿宋_GB2312" w:hAnsi="楷体" w:eastAsia="仿宋_GB2312" w:cstheme="minorBidi"/>
          <w:kern w:val="0"/>
          <w:sz w:val="32"/>
          <w:szCs w:val="32"/>
        </w:rPr>
        <w:t>%。主要原因是</w:t>
      </w:r>
      <w:r>
        <w:rPr>
          <w:rFonts w:hint="eastAsia" w:ascii="仿宋_GB2312" w:hAnsi="楷体" w:eastAsia="仿宋_GB2312" w:cstheme="minorBidi"/>
          <w:kern w:val="0"/>
          <w:sz w:val="32"/>
          <w:szCs w:val="32"/>
          <w:lang w:eastAsia="zh-CN"/>
        </w:rPr>
        <w:t>：无</w:t>
      </w:r>
      <w:r>
        <w:rPr>
          <w:rFonts w:hint="eastAsia" w:ascii="仿宋_GB2312" w:hAnsi="楷体" w:eastAsia="仿宋_GB2312" w:cstheme="minorBidi"/>
          <w:kern w:val="0"/>
          <w:sz w:val="32"/>
          <w:szCs w:val="32"/>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lang w:eastAsia="zh-CN"/>
        </w:rPr>
      </w:pPr>
      <w:r>
        <w:rPr>
          <w:rFonts w:hint="eastAsia" w:ascii="仿宋_GB2312" w:hAnsi="仿宋_GB2312" w:eastAsia="仿宋_GB2312" w:cs="仿宋_GB2312"/>
          <w:b w:val="0"/>
          <w:bCs/>
          <w:spacing w:val="0"/>
          <w:sz w:val="32"/>
          <w:szCs w:val="32"/>
          <w:u w:val="none"/>
          <w:lang w:val="en-US" w:eastAsia="zh-CN"/>
        </w:rPr>
        <w:t>2021年度本部门无</w:t>
      </w:r>
      <w:r>
        <w:rPr>
          <w:rFonts w:hint="eastAsia" w:ascii="仿宋_GB2312" w:hAnsi="仿宋_GB2312" w:eastAsia="仿宋_GB2312" w:cs="仿宋_GB2312"/>
          <w:b w:val="0"/>
          <w:bCs/>
          <w:spacing w:val="0"/>
          <w:sz w:val="32"/>
          <w:szCs w:val="32"/>
          <w:u w:val="none"/>
        </w:rPr>
        <w:t>“三公”经费</w:t>
      </w:r>
      <w:r>
        <w:rPr>
          <w:rFonts w:hint="eastAsia" w:ascii="仿宋_GB2312" w:hAnsi="仿宋_GB2312" w:eastAsia="仿宋_GB2312" w:cs="仿宋_GB2312"/>
          <w:b w:val="0"/>
          <w:bCs/>
          <w:spacing w:val="0"/>
          <w:sz w:val="32"/>
          <w:szCs w:val="32"/>
          <w:u w:val="none"/>
          <w:lang w:eastAsia="zh-CN"/>
        </w:rPr>
        <w:t>。</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val="0"/>
          <w:bCs/>
          <w:spacing w:val="0"/>
          <w:sz w:val="32"/>
          <w:szCs w:val="32"/>
          <w:u w:val="none"/>
          <w:lang w:val="en-US" w:eastAsia="zh-CN"/>
        </w:rPr>
        <w:t>县委统战部</w:t>
      </w:r>
      <w:r>
        <w:rPr>
          <w:rFonts w:hint="eastAsia" w:ascii="仿宋_GB2312" w:hAnsi="仿宋_GB2312" w:eastAsia="仿宋_GB2312" w:cs="仿宋_GB2312"/>
          <w:kern w:val="0"/>
          <w:sz w:val="32"/>
          <w:szCs w:val="32"/>
          <w:u w:val="none"/>
        </w:rPr>
        <w:t>2021年度一般公共预算拨款安排的“三公”经费预算支出中，因公出国（境）费支出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%；公务用车购置及运行费支出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%；公务接待费支出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%。具体情况如下：</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1．因公出国（境）费预算支出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2．公务用车购置及运行费预算支出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万元。其中：</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（1）公务用车购置预算支出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lang w:val="en-US"/>
        </w:rPr>
      </w:pPr>
      <w:r>
        <w:rPr>
          <w:rFonts w:hint="eastAsia" w:ascii="仿宋_GB2312" w:hAnsi="仿宋_GB2312" w:eastAsia="仿宋_GB2312" w:cs="仿宋_GB2312"/>
          <w:kern w:val="0"/>
          <w:sz w:val="32"/>
          <w:szCs w:val="32"/>
          <w:u w:val="none"/>
        </w:rPr>
        <w:t>（2）公务用车运行维护费预算支出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万元，比上年预算减少</w:t>
      </w:r>
      <w:r>
        <w:rPr>
          <w:rFonts w:hint="eastAsia" w:ascii="仿宋_GB2312" w:hAnsi="仿宋_GB2312" w:eastAsia="仿宋_GB2312" w:cs="仿宋_GB2312"/>
          <w:kern w:val="0"/>
          <w:sz w:val="32"/>
          <w:szCs w:val="32"/>
          <w:u w:val="none"/>
          <w:lang w:val="en-US" w:eastAsia="zh-CN"/>
        </w:rPr>
        <w:t>1.6</w:t>
      </w:r>
      <w:r>
        <w:rPr>
          <w:rFonts w:hint="eastAsia" w:ascii="仿宋_GB2312" w:hAnsi="仿宋_GB2312" w:eastAsia="仿宋_GB2312" w:cs="仿宋_GB2312"/>
          <w:kern w:val="0"/>
          <w:sz w:val="32"/>
          <w:szCs w:val="32"/>
          <w:u w:val="none"/>
        </w:rPr>
        <w:t>万元，主要原因</w:t>
      </w:r>
      <w:r>
        <w:rPr>
          <w:rFonts w:hint="eastAsia" w:ascii="仿宋_GB2312" w:hAnsi="仿宋_GB2312" w:eastAsia="仿宋_GB2312" w:cs="仿宋_GB2312"/>
          <w:kern w:val="0"/>
          <w:sz w:val="32"/>
          <w:szCs w:val="32"/>
          <w:u w:val="none"/>
          <w:lang w:val="en-US" w:eastAsia="zh-CN"/>
        </w:rPr>
        <w:t>是公务用车移交县机关事务后勤服务中心，相关费用减少。</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3．公务接待费预算支出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楷体" w:eastAsia="仿宋_GB2312"/>
          <w:kern w:val="0"/>
          <w:sz w:val="32"/>
          <w:szCs w:val="32"/>
        </w:rPr>
      </w:pPr>
      <w:r>
        <w:rPr>
          <w:rFonts w:ascii="仿宋_GB2312" w:hAnsi="楷体" w:eastAsia="仿宋_GB2312"/>
          <w:kern w:val="0"/>
          <w:sz w:val="32"/>
          <w:szCs w:val="32"/>
          <w:highlight w:val="none"/>
        </w:rPr>
        <w:t>2021</w:t>
      </w:r>
      <w:r>
        <w:rPr>
          <w:rFonts w:hint="eastAsia" w:ascii="仿宋_GB2312" w:hAnsi="楷体" w:eastAsia="仿宋_GB2312"/>
          <w:kern w:val="0"/>
          <w:sz w:val="32"/>
          <w:szCs w:val="32"/>
          <w:highlight w:val="none"/>
        </w:rPr>
        <w:t>年本部门</w:t>
      </w:r>
      <w:bookmarkStart w:id="1" w:name="_GoBack"/>
      <w:bookmarkEnd w:id="1"/>
      <w:r>
        <w:rPr>
          <w:rFonts w:hint="eastAsia" w:ascii="仿宋_GB2312" w:hAnsi="楷体" w:eastAsia="仿宋_GB2312"/>
          <w:kern w:val="0"/>
          <w:sz w:val="32"/>
          <w:szCs w:val="32"/>
          <w:highlight w:val="none"/>
        </w:rPr>
        <w:t>一般公共预算机关运行经费预算支出</w:t>
      </w:r>
      <w:r>
        <w:rPr>
          <w:rFonts w:hint="eastAsia" w:ascii="仿宋_GB2312" w:hAnsi="楷体" w:eastAsia="仿宋_GB2312"/>
          <w:kern w:val="0"/>
          <w:sz w:val="32"/>
          <w:szCs w:val="32"/>
          <w:highlight w:val="none"/>
          <w:lang w:val="en-US" w:eastAsia="zh-CN"/>
        </w:rPr>
        <w:t>9.81</w:t>
      </w:r>
      <w:r>
        <w:rPr>
          <w:rFonts w:hint="eastAsia" w:ascii="仿宋_GB2312" w:hAnsi="楷体" w:eastAsia="仿宋_GB2312"/>
          <w:kern w:val="0"/>
          <w:sz w:val="32"/>
          <w:szCs w:val="32"/>
          <w:highlight w:val="none"/>
        </w:rPr>
        <w:t>万元，与上年相比减少</w:t>
      </w:r>
      <w:r>
        <w:rPr>
          <w:rFonts w:hint="eastAsia" w:ascii="仿宋_GB2312" w:hAnsi="楷体" w:eastAsia="仿宋_GB2312"/>
          <w:kern w:val="0"/>
          <w:sz w:val="32"/>
          <w:szCs w:val="32"/>
          <w:highlight w:val="none"/>
          <w:lang w:val="en-US" w:eastAsia="zh-CN"/>
        </w:rPr>
        <w:t>0.97</w:t>
      </w:r>
      <w:r>
        <w:rPr>
          <w:rFonts w:hint="eastAsia" w:ascii="仿宋_GB2312" w:hAnsi="楷体" w:eastAsia="仿宋_GB2312"/>
          <w:kern w:val="0"/>
          <w:sz w:val="32"/>
          <w:szCs w:val="32"/>
          <w:highlight w:val="none"/>
        </w:rPr>
        <w:t>万元，降低</w:t>
      </w:r>
      <w:r>
        <w:rPr>
          <w:rFonts w:hint="eastAsia" w:ascii="仿宋_GB2312" w:hAnsi="楷体" w:eastAsia="仿宋_GB2312"/>
          <w:kern w:val="0"/>
          <w:sz w:val="32"/>
          <w:szCs w:val="32"/>
          <w:highlight w:val="none"/>
          <w:lang w:val="en-US" w:eastAsia="zh-CN"/>
        </w:rPr>
        <w:t>9.0</w:t>
      </w:r>
      <w:r>
        <w:rPr>
          <w:rFonts w:ascii="仿宋_GB2312" w:hAnsi="楷体" w:eastAsia="仿宋_GB2312"/>
          <w:kern w:val="0"/>
          <w:sz w:val="32"/>
          <w:szCs w:val="32"/>
          <w:highlight w:val="none"/>
        </w:rPr>
        <w:t>%</w:t>
      </w:r>
      <w:r>
        <w:rPr>
          <w:rFonts w:hint="eastAsia" w:ascii="仿宋_GB2312" w:hAnsi="楷体" w:eastAsia="仿宋_GB2312"/>
          <w:kern w:val="0"/>
          <w:sz w:val="32"/>
          <w:szCs w:val="32"/>
          <w:highlight w:val="none"/>
        </w:rPr>
        <w:t>。主要原因是：</w:t>
      </w:r>
      <w:r>
        <w:rPr>
          <w:rFonts w:hint="eastAsia" w:ascii="仿宋_GB2312" w:hAnsi="楷体" w:eastAsia="仿宋_GB2312"/>
          <w:kern w:val="0"/>
          <w:sz w:val="32"/>
          <w:szCs w:val="32"/>
          <w:lang w:val="en-US" w:eastAsia="zh-CN"/>
        </w:rPr>
        <w:t>按要求减少办公经费开支</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numPr>
          <w:ilvl w:val="0"/>
          <w:numId w:val="2"/>
        </w:numPr>
        <w:kinsoku/>
        <w:wordWrap/>
        <w:overflowPunct/>
        <w:topLinePunct w:val="0"/>
        <w:bidi w:val="0"/>
        <w:snapToGrid/>
        <w:spacing w:line="560" w:lineRule="exact"/>
        <w:ind w:firstLine="640" w:firstLineChars="2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政府采购支出预算情况说明</w:t>
      </w:r>
    </w:p>
    <w:p>
      <w:pPr>
        <w:keepNext w:val="0"/>
        <w:keepLines w:val="0"/>
        <w:pageBreakBefore w:val="0"/>
        <w:widowControl w:val="0"/>
        <w:kinsoku/>
        <w:wordWrap/>
        <w:overflowPunct/>
        <w:topLinePunct w:val="0"/>
        <w:autoSpaceDE w:val="0"/>
        <w:autoSpaceDN w:val="0"/>
        <w:bidi w:val="0"/>
        <w:adjustRightInd w:val="0"/>
        <w:ind w:firstLine="640" w:firstLineChars="200"/>
        <w:jc w:val="left"/>
        <w:textAlignment w:val="auto"/>
        <w:rPr>
          <w:rFonts w:hint="eastAsia" w:ascii="仿宋_GB2312" w:hAnsi="楷体" w:eastAsia="仿宋_GB2312" w:cs="Times New Roman"/>
          <w:kern w:val="0"/>
          <w:sz w:val="32"/>
          <w:szCs w:val="32"/>
        </w:rPr>
      </w:pPr>
      <w:r>
        <w:rPr>
          <w:rFonts w:hint="eastAsia" w:ascii="仿宋_GB2312" w:hAnsi="楷体" w:eastAsia="仿宋_GB2312" w:cs="Times New Roman"/>
          <w:kern w:val="0"/>
          <w:sz w:val="32"/>
          <w:szCs w:val="32"/>
        </w:rPr>
        <w:t>本部门没有政府采购情况。</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jc w:val="both"/>
        <w:textAlignment w:val="auto"/>
        <w:rPr>
          <w:rFonts w:ascii="仿宋_GB2312" w:hAnsi="楷体" w:eastAsia="仿宋_GB2312"/>
          <w:kern w:val="0"/>
          <w:sz w:val="32"/>
          <w:szCs w:val="32"/>
        </w:rPr>
      </w:pPr>
      <w:r>
        <w:rPr>
          <w:rFonts w:hint="eastAsia" w:ascii="仿宋_GB2312" w:hAnsi="仿宋_GB2312" w:eastAsia="仿宋_GB2312" w:cs="仿宋_GB2312"/>
          <w:spacing w:val="0"/>
          <w:kern w:val="0"/>
          <w:sz w:val="32"/>
          <w:szCs w:val="32"/>
          <w:u w:val="none"/>
        </w:rPr>
        <w:t>本部门共有车辆</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辆。</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keepNext w:val="0"/>
        <w:keepLines w:val="0"/>
        <w:pageBreakBefore w:val="0"/>
        <w:widowControl w:val="0"/>
        <w:kinsoku/>
        <w:wordWrap/>
        <w:overflowPunct/>
        <w:topLinePunct w:val="0"/>
        <w:autoSpaceDE w:val="0"/>
        <w:autoSpaceDN w:val="0"/>
        <w:bidi w:val="0"/>
        <w:adjustRightInd w:val="0"/>
        <w:ind w:firstLine="800" w:firstLineChars="250"/>
        <w:jc w:val="left"/>
        <w:textAlignment w:val="auto"/>
        <w:rPr>
          <w:rFonts w:ascii="仿宋_GB2312" w:hAnsi="楷体" w:eastAsia="仿宋_GB2312"/>
          <w:kern w:val="0"/>
          <w:sz w:val="32"/>
          <w:szCs w:val="32"/>
        </w:rPr>
      </w:pPr>
      <w:r>
        <w:rPr>
          <w:rFonts w:ascii="仿宋_GB2312" w:hAnsi="楷体" w:eastAsia="仿宋_GB2312"/>
          <w:kern w:val="0"/>
          <w:sz w:val="32"/>
          <w:szCs w:val="32"/>
        </w:rPr>
        <w:t>2021</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25.64</w:t>
      </w:r>
      <w:r>
        <w:rPr>
          <w:rFonts w:hint="eastAsia" w:ascii="仿宋_GB2312" w:hAnsi="楷体" w:eastAsia="仿宋_GB2312"/>
          <w:kern w:val="0"/>
          <w:sz w:val="32"/>
          <w:szCs w:val="32"/>
        </w:rPr>
        <w:t>万元；</w:t>
      </w:r>
      <w:r>
        <w:rPr>
          <w:rFonts w:hint="eastAsia" w:ascii="仿宋_GB2312" w:hAnsi="仿宋_GB2312" w:eastAsia="仿宋_GB2312" w:cs="仿宋_GB2312"/>
          <w:spacing w:val="0"/>
          <w:kern w:val="0"/>
          <w:sz w:val="32"/>
          <w:szCs w:val="32"/>
          <w:u w:val="none"/>
        </w:rPr>
        <w:t>本部门单位整体支出纳入绩效目标管理，涉及财政性资金</w:t>
      </w:r>
      <w:r>
        <w:rPr>
          <w:rFonts w:hint="eastAsia" w:ascii="仿宋_GB2312" w:hAnsi="仿宋_GB2312" w:eastAsia="仿宋_GB2312" w:cs="仿宋_GB2312"/>
          <w:spacing w:val="0"/>
          <w:kern w:val="0"/>
          <w:sz w:val="32"/>
          <w:szCs w:val="32"/>
          <w:u w:val="none"/>
          <w:lang w:val="en-US" w:eastAsia="zh-CN"/>
        </w:rPr>
        <w:t>25.64</w:t>
      </w:r>
      <w:r>
        <w:rPr>
          <w:rFonts w:hint="eastAsia" w:ascii="仿宋_GB2312" w:hAnsi="仿宋_GB2312" w:eastAsia="仿宋_GB2312" w:cs="仿宋_GB2312"/>
          <w:spacing w:val="0"/>
          <w:kern w:val="0"/>
          <w:sz w:val="32"/>
          <w:szCs w:val="32"/>
          <w:u w:val="none"/>
        </w:rPr>
        <w:t>万元。</w:t>
      </w:r>
    </w:p>
    <w:p>
      <w:pPr>
        <w:keepNext w:val="0"/>
        <w:keepLines w:val="0"/>
        <w:pageBreakBefore w:val="0"/>
        <w:widowControl w:val="0"/>
        <w:kinsoku/>
        <w:wordWrap/>
        <w:overflowPunct/>
        <w:topLinePunct w:val="0"/>
        <w:bidi w:val="0"/>
        <w:spacing w:line="600" w:lineRule="exact"/>
        <w:ind w:firstLine="636"/>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黑体" w:hAnsi="Times New Roman" w:eastAsia="黑体"/>
          <w:kern w:val="0"/>
          <w:sz w:val="32"/>
          <w:szCs w:val="32"/>
        </w:rPr>
      </w:pPr>
      <w:r>
        <w:rPr>
          <w:rFonts w:hint="eastAsia" w:ascii="仿宋_GB2312" w:hAnsi="仿宋_GB2312" w:eastAsia="仿宋_GB2312" w:cs="仿宋_GB2312"/>
          <w:b w:val="0"/>
          <w:bCs w:val="0"/>
          <w:spacing w:val="0"/>
          <w:kern w:val="0"/>
          <w:sz w:val="32"/>
          <w:szCs w:val="32"/>
          <w:u w:val="none"/>
          <w:lang w:val="en-US" w:eastAsia="zh-CN"/>
        </w:rPr>
        <w:t>2021年度本部门</w:t>
      </w:r>
      <w:r>
        <w:rPr>
          <w:rFonts w:hint="eastAsia" w:ascii="仿宋_GB2312" w:hAnsi="仿宋_GB2312" w:eastAsia="仿宋_GB2312" w:cs="仿宋_GB2312"/>
          <w:b w:val="0"/>
          <w:bCs w:val="0"/>
          <w:spacing w:val="0"/>
          <w:kern w:val="0"/>
          <w:sz w:val="32"/>
          <w:szCs w:val="32"/>
          <w:u w:val="none"/>
        </w:rPr>
        <w:t>未使用政府债券。</w:t>
      </w:r>
    </w:p>
    <w:p>
      <w:pPr>
        <w:keepNext w:val="0"/>
        <w:keepLines w:val="0"/>
        <w:pageBreakBefore w:val="0"/>
        <w:widowControl w:val="0"/>
        <w:kinsoku/>
        <w:wordWrap/>
        <w:overflowPunct/>
        <w:topLinePunct w:val="0"/>
        <w:bidi w:val="0"/>
        <w:spacing w:line="600" w:lineRule="exact"/>
        <w:jc w:val="both"/>
        <w:textAlignment w:val="auto"/>
        <w:rPr>
          <w:rFonts w:hint="eastAsia" w:ascii="黑体" w:hAnsi="Times New Roman" w:eastAsia="黑体"/>
          <w:kern w:val="0"/>
          <w:sz w:val="32"/>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keepNext w:val="0"/>
        <w:keepLines w:val="0"/>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keepNext w:val="0"/>
        <w:keepLines w:val="0"/>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keepNext w:val="0"/>
        <w:keepLines w:val="0"/>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keepNext w:val="0"/>
        <w:keepLines w:val="0"/>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keepNext w:val="0"/>
        <w:keepLines w:val="0"/>
        <w:pageBreakBefore w:val="0"/>
        <w:widowControl w:val="0"/>
        <w:kinsoku/>
        <w:wordWrap/>
        <w:overflowPunct/>
        <w:topLinePunct w:val="0"/>
        <w:bidi w:val="0"/>
        <w:spacing w:line="600" w:lineRule="exact"/>
        <w:ind w:firstLine="636"/>
        <w:jc w:val="both"/>
        <w:textAlignment w:val="auto"/>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spacing w:line="600" w:lineRule="exact"/>
        <w:ind w:firstLine="636"/>
        <w:jc w:val="both"/>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val="0"/>
        <w:kinsoku/>
        <w:wordWrap/>
        <w:overflowPunct/>
        <w:topLinePunct w:val="0"/>
        <w:bidi w:val="0"/>
        <w:snapToGrid w:val="0"/>
        <w:spacing w:line="600" w:lineRule="exact"/>
        <w:ind w:firstLine="640"/>
        <w:jc w:val="both"/>
        <w:textAlignment w:val="auto"/>
        <w:rPr>
          <w:rFonts w:hint="eastAsia" w:ascii="仿宋_GB2312" w:hAnsi="仿宋" w:eastAsia="仿宋_GB2312"/>
          <w:kern w:val="0"/>
          <w:sz w:val="32"/>
          <w:szCs w:val="32"/>
        </w:rPr>
      </w:pPr>
    </w:p>
    <w:p>
      <w:pPr>
        <w:keepNext w:val="0"/>
        <w:keepLines w:val="0"/>
        <w:pageBreakBefore w:val="0"/>
        <w:widowControl w:val="0"/>
        <w:kinsoku/>
        <w:wordWrap/>
        <w:overflowPunct/>
        <w:topLinePunct w:val="0"/>
        <w:bidi w:val="0"/>
        <w:snapToGrid w:val="0"/>
        <w:spacing w:line="560" w:lineRule="exact"/>
        <w:ind w:firstLine="640"/>
        <w:textAlignment w:val="auto"/>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67112"/>
    <w:multiLevelType w:val="singleLevel"/>
    <w:tmpl w:val="06A67112"/>
    <w:lvl w:ilvl="0" w:tentative="0">
      <w:start w:val="10"/>
      <w:numFmt w:val="chineseCounting"/>
      <w:suff w:val="nothing"/>
      <w:lvlText w:val="%1、"/>
      <w:lvlJc w:val="left"/>
      <w:rPr>
        <w:rFonts w:hint="eastAsia"/>
      </w:rPr>
    </w:lvl>
  </w:abstractNum>
  <w:abstractNum w:abstractNumId="1">
    <w:nsid w:val="186F137C"/>
    <w:multiLevelType w:val="singleLevel"/>
    <w:tmpl w:val="186F137C"/>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401"/>
    <w:rsid w:val="000B74D1"/>
    <w:rsid w:val="00103C4E"/>
    <w:rsid w:val="00297B1C"/>
    <w:rsid w:val="00314382"/>
    <w:rsid w:val="0034303F"/>
    <w:rsid w:val="003B2DB6"/>
    <w:rsid w:val="004949B3"/>
    <w:rsid w:val="006D4B95"/>
    <w:rsid w:val="00890F37"/>
    <w:rsid w:val="00895C3E"/>
    <w:rsid w:val="008D0AD8"/>
    <w:rsid w:val="00A115D7"/>
    <w:rsid w:val="00A86E24"/>
    <w:rsid w:val="00BD226A"/>
    <w:rsid w:val="00C40118"/>
    <w:rsid w:val="00CA0202"/>
    <w:rsid w:val="00D53641"/>
    <w:rsid w:val="00E7474F"/>
    <w:rsid w:val="00EF1C6F"/>
    <w:rsid w:val="00F31401"/>
    <w:rsid w:val="00FA7372"/>
    <w:rsid w:val="00FB3297"/>
    <w:rsid w:val="01E2763B"/>
    <w:rsid w:val="02302B49"/>
    <w:rsid w:val="02496741"/>
    <w:rsid w:val="02F71C94"/>
    <w:rsid w:val="042A46B1"/>
    <w:rsid w:val="047252B7"/>
    <w:rsid w:val="0595462A"/>
    <w:rsid w:val="05E51BD6"/>
    <w:rsid w:val="06645015"/>
    <w:rsid w:val="068F085F"/>
    <w:rsid w:val="06C82279"/>
    <w:rsid w:val="06DD6518"/>
    <w:rsid w:val="09ED16A4"/>
    <w:rsid w:val="0A395A2B"/>
    <w:rsid w:val="0A781506"/>
    <w:rsid w:val="0A831A07"/>
    <w:rsid w:val="0AC44414"/>
    <w:rsid w:val="0B7A268C"/>
    <w:rsid w:val="0C550EC0"/>
    <w:rsid w:val="0ECF36D9"/>
    <w:rsid w:val="0F282835"/>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B4F0826"/>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647363"/>
    <w:rsid w:val="2A997794"/>
    <w:rsid w:val="2AA80908"/>
    <w:rsid w:val="2B465A27"/>
    <w:rsid w:val="2B4A170A"/>
    <w:rsid w:val="2C292926"/>
    <w:rsid w:val="2D282446"/>
    <w:rsid w:val="2DFB2E0F"/>
    <w:rsid w:val="2DFF008B"/>
    <w:rsid w:val="2E08317D"/>
    <w:rsid w:val="2E4538B8"/>
    <w:rsid w:val="2EC80870"/>
    <w:rsid w:val="30B46CA3"/>
    <w:rsid w:val="31072BD6"/>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544A80"/>
    <w:rsid w:val="4CCC2331"/>
    <w:rsid w:val="4D6954BF"/>
    <w:rsid w:val="509749D4"/>
    <w:rsid w:val="50BC7B39"/>
    <w:rsid w:val="527C3191"/>
    <w:rsid w:val="52EF00AF"/>
    <w:rsid w:val="53DD6BA8"/>
    <w:rsid w:val="53F21A3F"/>
    <w:rsid w:val="55B2288E"/>
    <w:rsid w:val="55CB4852"/>
    <w:rsid w:val="579E20B3"/>
    <w:rsid w:val="58430EF3"/>
    <w:rsid w:val="58AA41B4"/>
    <w:rsid w:val="59AC6411"/>
    <w:rsid w:val="5A22632C"/>
    <w:rsid w:val="5AB04B75"/>
    <w:rsid w:val="5B494D63"/>
    <w:rsid w:val="5B9F36DE"/>
    <w:rsid w:val="5CA16867"/>
    <w:rsid w:val="5CE70289"/>
    <w:rsid w:val="5D15689C"/>
    <w:rsid w:val="5D74578E"/>
    <w:rsid w:val="5F074BD6"/>
    <w:rsid w:val="5F4C57DE"/>
    <w:rsid w:val="5F767359"/>
    <w:rsid w:val="5FA40E1A"/>
    <w:rsid w:val="5FAE6B95"/>
    <w:rsid w:val="60AD072C"/>
    <w:rsid w:val="61A97E4C"/>
    <w:rsid w:val="62680D4E"/>
    <w:rsid w:val="63804CC1"/>
    <w:rsid w:val="63CA0901"/>
    <w:rsid w:val="63DC3A6F"/>
    <w:rsid w:val="64535518"/>
    <w:rsid w:val="645F57E8"/>
    <w:rsid w:val="64A47E04"/>
    <w:rsid w:val="64AE406A"/>
    <w:rsid w:val="64E61465"/>
    <w:rsid w:val="65A60FF6"/>
    <w:rsid w:val="66CD24A3"/>
    <w:rsid w:val="67573C0D"/>
    <w:rsid w:val="67606103"/>
    <w:rsid w:val="67EB6718"/>
    <w:rsid w:val="68C7713A"/>
    <w:rsid w:val="68F242AC"/>
    <w:rsid w:val="6ABB4B62"/>
    <w:rsid w:val="6B73082E"/>
    <w:rsid w:val="6D812DBC"/>
    <w:rsid w:val="6DD00F51"/>
    <w:rsid w:val="6E130B2A"/>
    <w:rsid w:val="6E370580"/>
    <w:rsid w:val="6E5205D8"/>
    <w:rsid w:val="6EDA2E31"/>
    <w:rsid w:val="6FC77BC7"/>
    <w:rsid w:val="70C61C0B"/>
    <w:rsid w:val="70E334F7"/>
    <w:rsid w:val="716958B9"/>
    <w:rsid w:val="716A6C28"/>
    <w:rsid w:val="71D47169"/>
    <w:rsid w:val="71F30D0A"/>
    <w:rsid w:val="720A3FB4"/>
    <w:rsid w:val="72C23FBE"/>
    <w:rsid w:val="72F81C9E"/>
    <w:rsid w:val="736E3BAB"/>
    <w:rsid w:val="75A56425"/>
    <w:rsid w:val="761362F3"/>
    <w:rsid w:val="77481BE2"/>
    <w:rsid w:val="77915F20"/>
    <w:rsid w:val="77E60405"/>
    <w:rsid w:val="78317136"/>
    <w:rsid w:val="78801057"/>
    <w:rsid w:val="79333014"/>
    <w:rsid w:val="7A0A6456"/>
    <w:rsid w:val="7A82651F"/>
    <w:rsid w:val="7ADE0B82"/>
    <w:rsid w:val="7AED2B21"/>
    <w:rsid w:val="7B3A5C4F"/>
    <w:rsid w:val="7B787240"/>
    <w:rsid w:val="7B9D2846"/>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link w:val="6"/>
    <w:semiHidden/>
    <w:qFormat/>
    <w:uiPriority w:val="99"/>
    <w:rPr>
      <w:rFonts w:ascii="Times New Roman" w:hAnsi="Times New Roman"/>
      <w:szCs w:val="24"/>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99"/>
    <w:rPr>
      <w:rFonts w:ascii="Times New Roman" w:hAnsi="Times New Roman"/>
      <w:szCs w:val="24"/>
    </w:rPr>
  </w:style>
  <w:style w:type="character" w:styleId="7">
    <w:name w:val="page number"/>
    <w:basedOn w:val="5"/>
    <w:qFormat/>
    <w:uiPriority w:val="99"/>
    <w:rPr>
      <w:rFonts w:cs="Times New Roman"/>
    </w:rPr>
  </w:style>
  <w:style w:type="character" w:customStyle="1" w:styleId="8">
    <w:name w:val="Footer Char"/>
    <w:basedOn w:val="5"/>
    <w:link w:val="2"/>
    <w:semiHidden/>
    <w:qFormat/>
    <w:locked/>
    <w:uiPriority w:val="99"/>
    <w:rPr>
      <w:rFonts w:ascii="Calibri" w:hAnsi="Calibri" w:cs="Times New Roman"/>
      <w:sz w:val="18"/>
      <w:szCs w:val="18"/>
    </w:rPr>
  </w:style>
  <w:style w:type="character" w:customStyle="1" w:styleId="9">
    <w:name w:val="Header Char"/>
    <w:basedOn w:val="5"/>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677</Words>
  <Characters>3860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2020-05-19T03:47:00Z</cp:lastPrinted>
  <dcterms:modified xsi:type="dcterms:W3CDTF">2021-05-26T09:34:54Z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C7BB6A058981483BB478D2CCB1CEC1A7</vt:lpwstr>
  </property>
</Properties>
</file>