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襄汾县人民法院2020</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widowControl/>
        <w:spacing w:line="560" w:lineRule="exact"/>
        <w:ind w:firstLine="1280" w:firstLineChars="4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 xml:space="preserve">襄汾县人民法院为副处级建制，国家审判机关。其主要职责是：依法审判法律规定由基层人民法院管辖，中级人民法院指定管辖，或者认为应当由本级法院审理的刑事、民事、行政一审案件；依法审理由中级人民法院指令再审案件等。  </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r>
        <w:rPr>
          <w:rFonts w:hint="eastAsia" w:ascii="仿宋_GB2312" w:hAnsi="楷体" w:eastAsia="仿宋_GB2312"/>
          <w:kern w:val="0"/>
          <w:sz w:val="32"/>
          <w:szCs w:val="32"/>
          <w:u w:val="none"/>
          <w:lang w:eastAsia="zh-CN"/>
        </w:rPr>
        <w:t>：</w:t>
      </w:r>
    </w:p>
    <w:p>
      <w:pPr>
        <w:widowControl/>
        <w:numPr>
          <w:ilvl w:val="0"/>
          <w:numId w:val="0"/>
        </w:numPr>
        <w:spacing w:line="560" w:lineRule="exact"/>
        <w:ind w:firstLine="1280" w:firstLineChars="4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目前，全院内设政治处、办公室、法警大队、审判监督庭、行政审判庭、立案庭、刑事审判一庭、刑事审判二庭、民事审判一庭、民事审判二庭、民事审判三庭、执行一庭、执行二庭、执行三庭、协调办、纪检督察室及邓庄人民法庭、汾城人民法庭、南辛店人民法庭等共十九个庭室。襄汾县人民法院 2019年部门预算编制范围的单位情况表：</w:t>
      </w:r>
    </w:p>
    <w:tbl>
      <w:tblPr>
        <w:tblStyle w:val="4"/>
        <w:tblW w:w="8522" w:type="dxa"/>
        <w:jc w:val="center"/>
        <w:tblLayout w:type="fixed"/>
        <w:tblCellMar>
          <w:top w:w="0" w:type="dxa"/>
          <w:left w:w="108" w:type="dxa"/>
          <w:bottom w:w="0" w:type="dxa"/>
          <w:right w:w="108" w:type="dxa"/>
        </w:tblCellMar>
      </w:tblPr>
      <w:tblGrid>
        <w:gridCol w:w="1276"/>
        <w:gridCol w:w="5550"/>
        <w:gridCol w:w="1696"/>
      </w:tblGrid>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b/>
                <w:color w:val="333333"/>
                <w:spacing w:val="0"/>
                <w:position w:val="0"/>
                <w:sz w:val="32"/>
                <w:u w:val="none"/>
                <w:shd w:val="clear" w:fill="auto"/>
              </w:rPr>
              <w:t>序号</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b/>
                <w:color w:val="333333"/>
                <w:spacing w:val="0"/>
                <w:position w:val="0"/>
                <w:sz w:val="32"/>
                <w:u w:val="none"/>
                <w:shd w:val="clear" w:fill="auto"/>
              </w:rPr>
              <w:t>单位名称</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b/>
                <w:color w:val="333333"/>
                <w:spacing w:val="0"/>
                <w:position w:val="0"/>
                <w:sz w:val="32"/>
                <w:u w:val="none"/>
                <w:shd w:val="clear" w:fill="auto"/>
              </w:rPr>
              <w:t>备注</w:t>
            </w:r>
          </w:p>
        </w:tc>
      </w:tr>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color w:val="333333"/>
                <w:spacing w:val="0"/>
                <w:position w:val="0"/>
                <w:sz w:val="32"/>
                <w:u w:val="none"/>
                <w:shd w:val="clear" w:fill="auto"/>
              </w:rPr>
              <w:t>1</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2240"/>
              <w:jc w:val="left"/>
              <w:rPr>
                <w:rFonts w:hint="eastAsia" w:ascii="仿宋" w:hAnsi="仿宋" w:eastAsia="仿宋" w:cs="仿宋"/>
                <w:color w:val="auto"/>
                <w:spacing w:val="0"/>
                <w:position w:val="0"/>
                <w:u w:val="none"/>
              </w:rPr>
            </w:pPr>
            <w:r>
              <w:rPr>
                <w:rFonts w:hint="eastAsia" w:ascii="仿宋" w:hAnsi="仿宋" w:eastAsia="仿宋" w:cs="仿宋"/>
                <w:color w:val="auto"/>
                <w:spacing w:val="0"/>
                <w:position w:val="0"/>
                <w:sz w:val="32"/>
                <w:u w:val="none"/>
                <w:shd w:val="clear" w:fill="auto"/>
              </w:rPr>
              <w:t>办公室</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rPr>
            </w:pPr>
          </w:p>
        </w:tc>
      </w:tr>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color w:val="333333"/>
                <w:spacing w:val="0"/>
                <w:position w:val="0"/>
                <w:sz w:val="32"/>
                <w:u w:val="none"/>
                <w:shd w:val="clear" w:fill="auto"/>
              </w:rPr>
              <w:t>2</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u w:val="none"/>
              </w:rPr>
            </w:pPr>
            <w:r>
              <w:rPr>
                <w:rFonts w:hint="eastAsia" w:ascii="仿宋" w:hAnsi="仿宋" w:eastAsia="仿宋" w:cs="仿宋"/>
                <w:color w:val="auto"/>
                <w:spacing w:val="0"/>
                <w:position w:val="0"/>
                <w:sz w:val="32"/>
                <w:u w:val="none"/>
                <w:shd w:val="clear" w:fill="auto"/>
              </w:rPr>
              <w:t>刑事审判一庭</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rPr>
            </w:pPr>
          </w:p>
        </w:tc>
      </w:tr>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color w:val="333333"/>
                <w:spacing w:val="0"/>
                <w:position w:val="0"/>
                <w:sz w:val="32"/>
                <w:u w:val="none"/>
                <w:shd w:val="clear" w:fill="auto"/>
              </w:rPr>
              <w:t>3</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u w:val="none"/>
              </w:rPr>
            </w:pPr>
            <w:r>
              <w:rPr>
                <w:rFonts w:hint="eastAsia" w:ascii="仿宋" w:hAnsi="仿宋" w:eastAsia="仿宋" w:cs="仿宋"/>
                <w:color w:val="auto"/>
                <w:spacing w:val="0"/>
                <w:position w:val="0"/>
                <w:sz w:val="32"/>
                <w:u w:val="none"/>
                <w:shd w:val="clear" w:fill="auto"/>
              </w:rPr>
              <w:t>刑事审判二庭</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rPr>
            </w:pPr>
          </w:p>
        </w:tc>
      </w:tr>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rPr>
            </w:pPr>
            <w:r>
              <w:rPr>
                <w:rFonts w:hint="eastAsia" w:ascii="仿宋" w:hAnsi="仿宋" w:eastAsia="仿宋" w:cs="仿宋"/>
                <w:color w:val="333333"/>
                <w:spacing w:val="0"/>
                <w:position w:val="0"/>
                <w:sz w:val="32"/>
                <w:u w:val="none"/>
                <w:shd w:val="clear" w:fill="auto"/>
              </w:rPr>
              <w:t>4</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u w:val="none"/>
              </w:rPr>
            </w:pPr>
            <w:r>
              <w:rPr>
                <w:rFonts w:hint="eastAsia" w:ascii="仿宋" w:hAnsi="仿宋" w:eastAsia="仿宋" w:cs="仿宋"/>
                <w:color w:val="auto"/>
                <w:spacing w:val="0"/>
                <w:position w:val="0"/>
                <w:sz w:val="32"/>
                <w:u w:val="none"/>
                <w:shd w:val="clear" w:fill="auto"/>
              </w:rPr>
              <w:t>民事审判一庭</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rPr>
            </w:pPr>
          </w:p>
        </w:tc>
      </w:tr>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spacing w:val="0"/>
                <w:position w:val="0"/>
                <w:u w:val="none"/>
                <w:lang w:eastAsia="zh-CN"/>
              </w:rPr>
            </w:pPr>
            <w:r>
              <w:rPr>
                <w:rFonts w:hint="eastAsia" w:ascii="仿宋" w:hAnsi="仿宋" w:eastAsia="仿宋" w:cs="仿宋"/>
                <w:color w:val="333333"/>
                <w:spacing w:val="0"/>
                <w:position w:val="0"/>
                <w:sz w:val="32"/>
                <w:u w:val="none"/>
                <w:shd w:val="clear" w:fill="auto"/>
                <w:lang w:val="en-US" w:eastAsia="zh-CN"/>
              </w:rPr>
              <w:t>5</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u w:val="none"/>
              </w:rPr>
            </w:pPr>
            <w:r>
              <w:rPr>
                <w:rFonts w:hint="eastAsia" w:ascii="仿宋" w:hAnsi="仿宋" w:eastAsia="仿宋" w:cs="仿宋"/>
                <w:color w:val="auto"/>
                <w:spacing w:val="0"/>
                <w:position w:val="0"/>
                <w:sz w:val="32"/>
                <w:u w:val="none"/>
                <w:shd w:val="clear" w:fill="auto"/>
              </w:rPr>
              <w:t>民事审判二庭</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rPr>
            </w:pPr>
          </w:p>
        </w:tc>
      </w:tr>
      <w:tr>
        <w:tblPrEx>
          <w:tblCellMar>
            <w:top w:w="0" w:type="dxa"/>
            <w:left w:w="108" w:type="dxa"/>
            <w:bottom w:w="0" w:type="dxa"/>
            <w:right w:w="108" w:type="dxa"/>
          </w:tblCellMar>
        </w:tblPrEx>
        <w:trPr>
          <w:trHeight w:val="0" w:hRule="atLeast"/>
          <w:jc w:val="center"/>
        </w:trPr>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lang w:val="en-US" w:eastAsia="zh-CN"/>
              </w:rPr>
            </w:pPr>
            <w:r>
              <w:rPr>
                <w:rFonts w:hint="eastAsia" w:ascii="仿宋" w:hAnsi="仿宋" w:eastAsia="仿宋" w:cs="仿宋"/>
                <w:color w:val="auto"/>
                <w:spacing w:val="0"/>
                <w:position w:val="0"/>
                <w:sz w:val="32"/>
                <w:szCs w:val="32"/>
                <w:u w:val="none"/>
                <w:shd w:val="clear" w:fill="auto"/>
                <w:lang w:val="en-US" w:eastAsia="zh-CN"/>
              </w:rPr>
              <w:t>6</w:t>
            </w:r>
          </w:p>
        </w:tc>
        <w:tc>
          <w:tcPr>
            <w:tcW w:w="555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u w:val="none"/>
              </w:rPr>
            </w:pPr>
            <w:r>
              <w:rPr>
                <w:rFonts w:hint="eastAsia" w:ascii="仿宋" w:hAnsi="仿宋" w:eastAsia="仿宋" w:cs="仿宋"/>
                <w:color w:val="auto"/>
                <w:spacing w:val="0"/>
                <w:position w:val="0"/>
                <w:sz w:val="32"/>
                <w:u w:val="none"/>
                <w:shd w:val="clear" w:fill="auto"/>
              </w:rPr>
              <w:t>执行局</w:t>
            </w:r>
          </w:p>
        </w:tc>
        <w:tc>
          <w:tcPr>
            <w:tcW w:w="169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top"/>
          </w:tcPr>
          <w:p>
            <w:pPr>
              <w:spacing w:before="0" w:after="0" w:line="240" w:lineRule="auto"/>
              <w:ind w:left="0" w:right="0" w:firstLine="0"/>
              <w:jc w:val="center"/>
              <w:rPr>
                <w:rFonts w:hint="eastAsia" w:ascii="仿宋" w:hAnsi="仿宋" w:eastAsia="仿宋" w:cs="仿宋"/>
                <w:color w:val="auto"/>
                <w:spacing w:val="0"/>
                <w:position w:val="0"/>
                <w:sz w:val="22"/>
                <w:u w:val="none"/>
                <w:shd w:val="clear" w:fill="auto"/>
              </w:rPr>
            </w:pPr>
          </w:p>
        </w:tc>
      </w:tr>
    </w:tbl>
    <w:p>
      <w:pPr>
        <w:widowControl/>
        <w:numPr>
          <w:ilvl w:val="0"/>
          <w:numId w:val="0"/>
        </w:numPr>
        <w:spacing w:line="560" w:lineRule="exact"/>
        <w:rPr>
          <w:rFonts w:hint="default" w:ascii="仿宋_GB2312" w:hAnsi="楷体" w:eastAsia="仿宋_GB2312"/>
          <w:kern w:val="0"/>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襄汾县人民法院</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val="en-US" w:eastAsia="zh-CN"/>
        </w:rPr>
        <w:t>襄汾县人民法院</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宋体" w:eastAsia="仿宋_GB2312" w:cs="Times New Roman"/>
          <w:sz w:val="32"/>
          <w:szCs w:val="32"/>
          <w:u w:val="none"/>
          <w:lang w:val="en-US" w:eastAsia="zh-CN"/>
        </w:rPr>
        <w:t>襄汾县人民法院</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年度收入、支出预算总计</w:t>
      </w:r>
      <w:r>
        <w:rPr>
          <w:rFonts w:hint="eastAsia" w:ascii="仿宋_GB2312" w:hAnsi="仿宋_GB2312" w:eastAsia="仿宋_GB2312"/>
          <w:color w:val="000000"/>
          <w:sz w:val="32"/>
          <w:u w:val="none"/>
          <w:shd w:val="clear" w:color="auto" w:fill="FFFFFF"/>
          <w:lang w:val="en-US" w:eastAsia="zh-CN"/>
        </w:rPr>
        <w:t>13.7030</w:t>
      </w:r>
      <w:r>
        <w:rPr>
          <w:rFonts w:hint="eastAsia" w:ascii="仿宋_GB2312" w:hAnsi="楷体" w:eastAsia="仿宋_GB2312"/>
          <w:kern w:val="0"/>
          <w:sz w:val="32"/>
          <w:szCs w:val="32"/>
          <w:u w:val="none"/>
        </w:rPr>
        <w:t xml:space="preserve">   万元，与上年相比收、支预算总计各增加 </w:t>
      </w:r>
      <w:r>
        <w:rPr>
          <w:rFonts w:hint="eastAsia" w:ascii="仿宋_GB2312" w:hAnsi="楷体" w:eastAsia="仿宋_GB2312"/>
          <w:kern w:val="0"/>
          <w:sz w:val="32"/>
          <w:szCs w:val="32"/>
          <w:u w:val="none"/>
          <w:lang w:val="en-US" w:eastAsia="zh-CN"/>
        </w:rPr>
        <w:t>1.4644</w:t>
      </w:r>
      <w:r>
        <w:rPr>
          <w:rFonts w:hint="eastAsia" w:ascii="仿宋_GB2312" w:hAnsi="楷体" w:eastAsia="仿宋_GB2312"/>
          <w:kern w:val="0"/>
          <w:sz w:val="32"/>
          <w:szCs w:val="32"/>
          <w:u w:val="none"/>
        </w:rPr>
        <w:t xml:space="preserve"> 万元，增长</w:t>
      </w:r>
      <w:r>
        <w:rPr>
          <w:rFonts w:hint="eastAsia" w:ascii="仿宋_GB2312" w:hAnsi="楷体" w:eastAsia="仿宋_GB2312"/>
          <w:kern w:val="0"/>
          <w:sz w:val="32"/>
          <w:szCs w:val="32"/>
          <w:u w:val="none"/>
          <w:lang w:val="en-US" w:eastAsia="zh-CN"/>
        </w:rPr>
        <w:t>10.69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（一）收入预算总计 </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13.7030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1.4644</w:t>
      </w:r>
      <w:r>
        <w:rPr>
          <w:rFonts w:hint="eastAsia" w:ascii="仿宋_GB2312" w:hAnsi="楷体" w:eastAsia="仿宋_GB2312"/>
          <w:kern w:val="0"/>
          <w:sz w:val="32"/>
          <w:szCs w:val="32"/>
          <w:u w:val="none"/>
        </w:rPr>
        <w:t xml:space="preserve"> 万元，增长 </w:t>
      </w:r>
      <w:r>
        <w:rPr>
          <w:rFonts w:hint="eastAsia" w:ascii="仿宋_GB2312" w:hAnsi="楷体" w:eastAsia="仿宋_GB2312"/>
          <w:kern w:val="0"/>
          <w:sz w:val="32"/>
          <w:szCs w:val="32"/>
          <w:u w:val="none"/>
          <w:lang w:val="en-US" w:eastAsia="zh-CN"/>
        </w:rPr>
        <w:t>10.69</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单位上划</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）政府性基金收入预算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．财政专户管理资金收入预算总计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ascii="仿宋_GB2312" w:hAnsi="楷体" w:eastAsia="仿宋_GB2312"/>
          <w:kern w:val="0"/>
          <w:sz w:val="32"/>
          <w:szCs w:val="32"/>
          <w:u w:val="none"/>
        </w:rPr>
        <w:t xml:space="preserve"> </w:t>
      </w:r>
      <w:bookmarkStart w:id="0" w:name="_GoBack"/>
      <w:bookmarkEnd w:id="0"/>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万元。包括：</w:t>
      </w:r>
    </w:p>
    <w:p>
      <w:pPr>
        <w:widowControl/>
        <w:spacing w:line="560" w:lineRule="exact"/>
        <w:ind w:left="160" w:leftChars="76" w:firstLine="480" w:firstLineChars="150"/>
        <w:rPr>
          <w:rFonts w:hint="eastAsia" w:ascii="仿宋_GB2312" w:hAnsi="楷体" w:eastAsia="仿宋_GB2312"/>
          <w:kern w:val="0"/>
          <w:sz w:val="32"/>
          <w:szCs w:val="32"/>
          <w:u w:val="none"/>
          <w:lang w:val="en-US" w:eastAsia="zh-CN"/>
        </w:rPr>
      </w:pPr>
      <w:r>
        <w:rPr>
          <w:rFonts w:ascii="仿宋_GB2312" w:hAnsi="楷体" w:eastAsia="仿宋_GB2312"/>
          <w:color w:val="auto"/>
          <w:kern w:val="0"/>
          <w:sz w:val="32"/>
          <w:szCs w:val="32"/>
          <w:u w:val="none"/>
        </w:rPr>
        <w:t>1</w:t>
      </w:r>
      <w:r>
        <w:rPr>
          <w:rFonts w:hint="eastAsia"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lang w:eastAsia="zh-CN"/>
        </w:rPr>
        <w:t>社会保障和就业支出</w:t>
      </w:r>
      <w:r>
        <w:rPr>
          <w:rFonts w:hint="eastAsia" w:ascii="仿宋_GB2312" w:hAnsi="楷体" w:eastAsia="仿宋_GB2312"/>
          <w:kern w:val="0"/>
          <w:sz w:val="32"/>
          <w:szCs w:val="32"/>
          <w:u w:val="none"/>
        </w:rPr>
        <w:t>数为</w:t>
      </w:r>
      <w:r>
        <w:rPr>
          <w:rFonts w:hint="eastAsia" w:ascii="仿宋_GB2312" w:hAnsi="楷体" w:eastAsia="仿宋_GB2312"/>
          <w:kern w:val="0"/>
          <w:sz w:val="32"/>
          <w:szCs w:val="32"/>
          <w:u w:val="none"/>
          <w:lang w:val="en-US" w:eastAsia="zh-CN"/>
        </w:rPr>
        <w:t>13.7030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万元。与上年相比增加增加 </w:t>
      </w:r>
      <w:r>
        <w:rPr>
          <w:rFonts w:hint="eastAsia" w:ascii="仿宋_GB2312" w:hAnsi="楷体" w:eastAsia="仿宋_GB2312"/>
          <w:kern w:val="0"/>
          <w:sz w:val="32"/>
          <w:szCs w:val="32"/>
          <w:u w:val="none"/>
          <w:lang w:val="en-US" w:eastAsia="zh-CN"/>
        </w:rPr>
        <w:t>1.4644</w:t>
      </w:r>
      <w:r>
        <w:rPr>
          <w:rFonts w:hint="eastAsia" w:ascii="仿宋_GB2312" w:hAnsi="楷体" w:eastAsia="仿宋_GB2312"/>
          <w:kern w:val="0"/>
          <w:sz w:val="32"/>
          <w:szCs w:val="32"/>
          <w:u w:val="none"/>
        </w:rPr>
        <w:t xml:space="preserve"> 万元，增长 </w:t>
      </w:r>
      <w:r>
        <w:rPr>
          <w:rFonts w:hint="eastAsia" w:ascii="仿宋_GB2312" w:hAnsi="楷体" w:eastAsia="仿宋_GB2312"/>
          <w:kern w:val="0"/>
          <w:sz w:val="32"/>
          <w:szCs w:val="32"/>
          <w:u w:val="none"/>
          <w:lang w:val="en-US" w:eastAsia="zh-CN"/>
        </w:rPr>
        <w:t>10.69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社会保障和就业支出逐年增长</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 xml:space="preserve"> </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襄汾县人民法院</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万元，其中：一般公共预算收入</w:t>
      </w:r>
      <w:r>
        <w:rPr>
          <w:rFonts w:hint="eastAsia" w:ascii="仿宋_GB2312" w:hAnsi="楷体" w:eastAsia="仿宋_GB2312"/>
          <w:kern w:val="0"/>
          <w:sz w:val="32"/>
          <w:szCs w:val="32"/>
          <w:u w:val="none"/>
          <w:lang w:val="en-US" w:eastAsia="zh-CN"/>
        </w:rPr>
        <w:t>13.7030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万元，占 </w:t>
      </w:r>
      <w:r>
        <w:rPr>
          <w:rFonts w:hint="eastAsia" w:ascii="仿宋_GB2312" w:hAnsi="楷体" w:eastAsia="仿宋_GB2312"/>
          <w:kern w:val="0"/>
          <w:sz w:val="32"/>
          <w:szCs w:val="32"/>
          <w:u w:val="none"/>
          <w:lang w:val="en-US" w:eastAsia="zh-CN"/>
        </w:rPr>
        <w:t>100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襄汾县人民法院</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万元，其中：基本支出</w:t>
      </w:r>
      <w:r>
        <w:rPr>
          <w:rFonts w:hint="eastAsia" w:ascii="仿宋_GB2312" w:hAnsi="楷体" w:eastAsia="仿宋_GB2312"/>
          <w:kern w:val="0"/>
          <w:sz w:val="32"/>
          <w:szCs w:val="32"/>
          <w:u w:val="none"/>
          <w:lang w:val="en-US" w:eastAsia="zh-CN"/>
        </w:rPr>
        <w:t>13.7030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left="160" w:leftChars="76" w:firstLine="480" w:firstLineChars="15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襄汾县人民法院</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万元。与上年相比，财政拨款收、支总计各增加</w:t>
      </w:r>
      <w:r>
        <w:rPr>
          <w:rFonts w:hint="eastAsia" w:ascii="仿宋_GB2312" w:hAnsi="楷体" w:eastAsia="仿宋_GB2312"/>
          <w:kern w:val="0"/>
          <w:sz w:val="32"/>
          <w:szCs w:val="32"/>
          <w:u w:val="none"/>
          <w:lang w:val="en-US" w:eastAsia="zh-CN"/>
        </w:rPr>
        <w:t>1.4644</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10.69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社会保障和就业支出逐年增长</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襄汾县人民法院</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万元，与上年相比增加 </w:t>
      </w:r>
      <w:r>
        <w:rPr>
          <w:rFonts w:hint="eastAsia" w:ascii="仿宋_GB2312" w:hAnsi="楷体" w:eastAsia="仿宋_GB2312"/>
          <w:kern w:val="0"/>
          <w:sz w:val="32"/>
          <w:szCs w:val="32"/>
          <w:u w:val="none"/>
          <w:lang w:val="en-US" w:eastAsia="zh-CN"/>
        </w:rPr>
        <w:t>1.4644</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10.69</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社会保障和就业支出逐年增长</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 xml:space="preserve"> </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襄汾县人民法院</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万元，其中：</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13.7030</w:t>
      </w:r>
      <w:r>
        <w:rPr>
          <w:rFonts w:hint="eastAsia" w:ascii="仿宋_GB2312" w:hAnsi="楷体" w:eastAsia="仿宋_GB2312"/>
          <w:kern w:val="0"/>
          <w:sz w:val="32"/>
          <w:szCs w:val="32"/>
          <w:u w:val="none"/>
        </w:rPr>
        <w:t xml:space="preserve">  万元。主要包括：离休费、抚恤金</w:t>
      </w:r>
      <w:r>
        <w:rPr>
          <w:rFonts w:hint="eastAsia" w:ascii="仿宋_GB2312" w:hAnsi="楷体" w:eastAsia="仿宋_GB2312"/>
          <w:kern w:val="0"/>
          <w:sz w:val="32"/>
          <w:szCs w:val="32"/>
          <w:u w:val="none"/>
          <w:lang w:eastAsia="zh-CN"/>
        </w:rPr>
        <w:t>。</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 xml:space="preserve">（二）公用经费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襄汾县人民法院</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numPr>
          <w:ilvl w:val="0"/>
          <w:numId w:val="2"/>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一般公共预算“三公”经费、会议费、培训费支出预算情况说明</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因单位上划无“三公”经费。</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因单位上划无机关运行经费。</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黑体" w:hAnsi="黑体" w:eastAsia="黑体"/>
          <w:sz w:val="32"/>
          <w:szCs w:val="32"/>
          <w:u w:val="none"/>
          <w:lang w:eastAsia="zh-CN"/>
        </w:rPr>
      </w:pPr>
      <w:r>
        <w:rPr>
          <w:rFonts w:hint="eastAsia" w:ascii="仿宋_GB2312" w:hAnsi="楷体" w:eastAsia="仿宋_GB2312"/>
          <w:kern w:val="0"/>
          <w:sz w:val="32"/>
          <w:szCs w:val="32"/>
          <w:u w:val="none"/>
          <w:lang w:eastAsia="zh-CN"/>
        </w:rPr>
        <w:t>因单位上划无政府采购情况</w:t>
      </w:r>
      <w:r>
        <w:rPr>
          <w:rFonts w:hint="eastAsia" w:ascii="黑体" w:hAnsi="黑体" w:eastAsia="黑体"/>
          <w:sz w:val="32"/>
          <w:szCs w:val="32"/>
          <w:u w:val="none"/>
          <w:lang w:eastAsia="zh-CN"/>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本部门共有车辆 </w:t>
      </w:r>
      <w:r>
        <w:rPr>
          <w:rFonts w:hint="eastAsia" w:ascii="仿宋_GB2312" w:hAnsi="楷体" w:eastAsia="仿宋_GB2312"/>
          <w:kern w:val="0"/>
          <w:sz w:val="32"/>
          <w:szCs w:val="32"/>
          <w:u w:val="none"/>
          <w:lang w:val="en-US" w:eastAsia="zh-CN"/>
        </w:rPr>
        <w:t>15</w:t>
      </w:r>
      <w:r>
        <w:rPr>
          <w:rFonts w:hint="eastAsia" w:ascii="仿宋_GB2312" w:hAnsi="楷体" w:eastAsia="仿宋_GB2312"/>
          <w:kern w:val="0"/>
          <w:sz w:val="32"/>
          <w:szCs w:val="32"/>
          <w:u w:val="none"/>
        </w:rPr>
        <w:t xml:space="preserve"> 辆，其中，一般公务用车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辆、执法执勤用车 </w:t>
      </w:r>
      <w:r>
        <w:rPr>
          <w:rFonts w:hint="eastAsia" w:ascii="仿宋_GB2312" w:hAnsi="楷体" w:eastAsia="仿宋_GB2312"/>
          <w:kern w:val="0"/>
          <w:sz w:val="32"/>
          <w:szCs w:val="32"/>
          <w:u w:val="none"/>
          <w:lang w:val="en-US" w:eastAsia="zh-CN"/>
        </w:rPr>
        <w:t>15</w:t>
      </w:r>
      <w:r>
        <w:rPr>
          <w:rFonts w:hint="eastAsia" w:ascii="仿宋_GB2312" w:hAnsi="楷体" w:eastAsia="仿宋_GB2312"/>
          <w:kern w:val="0"/>
          <w:sz w:val="32"/>
          <w:szCs w:val="32"/>
          <w:u w:val="none"/>
        </w:rPr>
        <w:t xml:space="preserve">辆、特种专业技术用车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辆、其他用车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年度，本部门单位共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个项目纳入绩效目标管理，涉及财政性资金合计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万元；本部门单位整体支出（□纳入、□未纳入）绩效目标管理，涉及财政性资金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楷体" w:eastAsia="仿宋_GB2312"/>
          <w:kern w:val="0"/>
          <w:sz w:val="32"/>
          <w:szCs w:val="32"/>
          <w:u w:val="none"/>
        </w:rPr>
        <w:t>十三、其他说明</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BDB42"/>
    <w:multiLevelType w:val="singleLevel"/>
    <w:tmpl w:val="24CBDB42"/>
    <w:lvl w:ilvl="0" w:tentative="0">
      <w:start w:val="8"/>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836C1D"/>
    <w:rsid w:val="13D31AA5"/>
    <w:rsid w:val="14897DBA"/>
    <w:rsid w:val="16027FF2"/>
    <w:rsid w:val="16407400"/>
    <w:rsid w:val="164D2E81"/>
    <w:rsid w:val="16A97B7B"/>
    <w:rsid w:val="16B00739"/>
    <w:rsid w:val="17A809B3"/>
    <w:rsid w:val="18692FEC"/>
    <w:rsid w:val="189004E1"/>
    <w:rsid w:val="19B3058F"/>
    <w:rsid w:val="19CE7BD6"/>
    <w:rsid w:val="19D410BE"/>
    <w:rsid w:val="19EF64A7"/>
    <w:rsid w:val="1ADE35B1"/>
    <w:rsid w:val="1AEA4822"/>
    <w:rsid w:val="1DBF43F1"/>
    <w:rsid w:val="1E46404A"/>
    <w:rsid w:val="1E8B07BA"/>
    <w:rsid w:val="1F167368"/>
    <w:rsid w:val="1FD5315A"/>
    <w:rsid w:val="1FEA2B78"/>
    <w:rsid w:val="20154AC9"/>
    <w:rsid w:val="20692B78"/>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7A556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12747D"/>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E9835A7"/>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4034E2"/>
    <w:rsid w:val="55B2288E"/>
    <w:rsid w:val="55CB4852"/>
    <w:rsid w:val="579559FB"/>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75982"/>
    <w:rsid w:val="61A97E4C"/>
    <w:rsid w:val="62680D4E"/>
    <w:rsid w:val="62AE3380"/>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AD2E47"/>
    <w:rsid w:val="6DD00F51"/>
    <w:rsid w:val="6E130B2A"/>
    <w:rsid w:val="6E5205D8"/>
    <w:rsid w:val="6EDA2E31"/>
    <w:rsid w:val="6FC77BC7"/>
    <w:rsid w:val="70C61C0B"/>
    <w:rsid w:val="70E334F7"/>
    <w:rsid w:val="71D47169"/>
    <w:rsid w:val="720A3FB4"/>
    <w:rsid w:val="7283707F"/>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BE45E7"/>
    <w:rsid w:val="7DD51D8B"/>
    <w:rsid w:val="7E2E3893"/>
    <w:rsid w:val="7E536A6D"/>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2020-05-27T08:18:49Z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