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襄汾县直属机关事务服务中心</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一、本部门职责</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sz w:val="32"/>
          <w:szCs w:val="32"/>
          <w:lang w:eastAsia="zh-CN"/>
        </w:rPr>
        <w:t>襄汾县直属机关事务服务中心</w:t>
      </w:r>
      <w:r>
        <w:rPr>
          <w:rFonts w:hint="eastAsia" w:ascii="仿宋" w:hAnsi="仿宋" w:eastAsia="仿宋" w:cs="仿宋"/>
          <w:sz w:val="32"/>
          <w:szCs w:val="32"/>
        </w:rPr>
        <w:t>主要负责全县重要的公务接待、大型会议和重要活动的接待保障、服务和经费管理工作；负责县直党政机关事业单位办公用房维修、办公用房建设的立项报批、计划编制、建设监管；负责县直党政机关事业单位公务用车的编制、配备、更新、处置工作,拟定相关制度、办法并监督执行，指导全县党政机关事业单位公务用车管理工作；负责全县公共节能相关工作；完成县委、县政府等交办的其他任务。</w:t>
      </w:r>
    </w:p>
    <w:p>
      <w:pPr>
        <w:widowControl/>
        <w:numPr>
          <w:ilvl w:val="0"/>
          <w:numId w:val="1"/>
        </w:numPr>
        <w:spacing w:line="56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部门机构设置及预算单位构成情况</w:t>
      </w:r>
    </w:p>
    <w:p>
      <w:pPr>
        <w:widowControl/>
        <w:numPr>
          <w:ilvl w:val="0"/>
          <w:numId w:val="2"/>
        </w:numPr>
        <w:spacing w:line="560" w:lineRule="exact"/>
        <w:ind w:firstLine="636"/>
        <w:rPr>
          <w:rFonts w:hint="eastAsia" w:ascii="仿宋" w:hAnsi="仿宋" w:eastAsia="仿宋" w:cs="仿宋"/>
          <w:kern w:val="0"/>
          <w:sz w:val="32"/>
          <w:szCs w:val="32"/>
        </w:rPr>
      </w:pPr>
      <w:r>
        <w:rPr>
          <w:rFonts w:hint="eastAsia" w:ascii="仿宋" w:hAnsi="仿宋" w:eastAsia="仿宋" w:cs="仿宋"/>
          <w:kern w:val="0"/>
          <w:sz w:val="32"/>
          <w:szCs w:val="32"/>
        </w:rPr>
        <w:t>根据部门职责分工，本部门内设机构包括</w:t>
      </w:r>
      <w:r>
        <w:rPr>
          <w:rFonts w:hint="eastAsia" w:ascii="仿宋" w:hAnsi="仿宋" w:eastAsia="仿宋" w:cs="仿宋"/>
          <w:sz w:val="32"/>
          <w:szCs w:val="32"/>
        </w:rPr>
        <w:t>：办公室、公车</w:t>
      </w:r>
      <w:r>
        <w:rPr>
          <w:rFonts w:hint="eastAsia" w:ascii="仿宋" w:hAnsi="仿宋" w:eastAsia="仿宋" w:cs="仿宋"/>
          <w:sz w:val="32"/>
          <w:szCs w:val="32"/>
          <w:lang w:eastAsia="zh-CN"/>
        </w:rPr>
        <w:t>管理</w:t>
      </w:r>
      <w:r>
        <w:rPr>
          <w:rFonts w:hint="eastAsia" w:ascii="仿宋" w:hAnsi="仿宋" w:eastAsia="仿宋" w:cs="仿宋"/>
          <w:sz w:val="32"/>
          <w:szCs w:val="32"/>
        </w:rPr>
        <w:t>股、</w:t>
      </w:r>
      <w:r>
        <w:rPr>
          <w:rFonts w:hint="eastAsia" w:ascii="仿宋" w:hAnsi="仿宋" w:eastAsia="仿宋" w:cs="仿宋"/>
          <w:sz w:val="32"/>
          <w:szCs w:val="32"/>
          <w:lang w:eastAsia="zh-CN"/>
        </w:rPr>
        <w:t>公</w:t>
      </w:r>
      <w:r>
        <w:rPr>
          <w:rFonts w:hint="eastAsia" w:ascii="仿宋" w:hAnsi="仿宋" w:eastAsia="仿宋" w:cs="仿宋"/>
          <w:sz w:val="32"/>
          <w:szCs w:val="32"/>
        </w:rPr>
        <w:t>房管理股、公共</w:t>
      </w:r>
      <w:r>
        <w:rPr>
          <w:rFonts w:hint="eastAsia" w:ascii="仿宋" w:hAnsi="仿宋" w:eastAsia="仿宋" w:cs="仿宋"/>
          <w:sz w:val="32"/>
          <w:szCs w:val="32"/>
          <w:lang w:eastAsia="zh-CN"/>
        </w:rPr>
        <w:t>机构</w:t>
      </w:r>
      <w:r>
        <w:rPr>
          <w:rFonts w:hint="eastAsia" w:ascii="仿宋" w:hAnsi="仿宋" w:eastAsia="仿宋" w:cs="仿宋"/>
          <w:sz w:val="32"/>
          <w:szCs w:val="32"/>
        </w:rPr>
        <w:t>节能股、安全保卫股等</w:t>
      </w:r>
      <w:r>
        <w:rPr>
          <w:rFonts w:hint="eastAsia" w:ascii="仿宋" w:hAnsi="仿宋" w:eastAsia="仿宋" w:cs="仿宋"/>
          <w:sz w:val="32"/>
          <w:szCs w:val="32"/>
          <w:lang w:val="en-US" w:eastAsia="zh-CN"/>
        </w:rPr>
        <w:t>5个股室</w:t>
      </w:r>
      <w:r>
        <w:rPr>
          <w:rFonts w:hint="eastAsia" w:ascii="仿宋" w:hAnsi="仿宋" w:eastAsia="仿宋" w:cs="仿宋"/>
          <w:sz w:val="32"/>
          <w:szCs w:val="32"/>
        </w:rPr>
        <w:t>。</w:t>
      </w:r>
      <w:r>
        <w:rPr>
          <w:rFonts w:hint="eastAsia" w:ascii="仿宋" w:hAnsi="仿宋" w:eastAsia="仿宋" w:cs="仿宋"/>
          <w:kern w:val="0"/>
          <w:sz w:val="32"/>
          <w:szCs w:val="32"/>
        </w:rPr>
        <w:t>本部门</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下属单位。</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 w:hAnsi="仿宋" w:eastAsia="仿宋" w:cs="仿宋"/>
          <w:kern w:val="0"/>
          <w:sz w:val="32"/>
          <w:szCs w:val="32"/>
        </w:rPr>
        <w:t>2．从预算单位构成看，纳入本部门2020年部门汇总预算编制范围的预算单位共计</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家，具体包括：</w:t>
      </w:r>
      <w:r>
        <w:rPr>
          <w:rFonts w:hint="eastAsia" w:ascii="仿宋" w:hAnsi="仿宋" w:eastAsia="仿宋" w:cs="仿宋"/>
          <w:kern w:val="0"/>
          <w:sz w:val="32"/>
          <w:szCs w:val="32"/>
          <w:lang w:eastAsia="zh-CN"/>
        </w:rPr>
        <w:t>襄汾县直属机关事务服务中心</w:t>
      </w:r>
      <w:r>
        <w:rPr>
          <w:rFonts w:hint="eastAsia" w:ascii="仿宋" w:hAnsi="仿宋" w:eastAsia="仿宋" w:cs="仿宋"/>
          <w:kern w:val="0"/>
          <w:sz w:val="32"/>
          <w:szCs w:val="32"/>
        </w:rPr>
        <w:t>本级。</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襄汾县直属机关事务服务中心</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襄汾县直属机关事务服务中心</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襄汾县直属机关事务服务中心</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lang w:val="en-US" w:eastAsia="zh-CN"/>
        </w:rPr>
        <w:t>1010.516236</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none"/>
          <w:lang w:val="en-US" w:eastAsia="zh-CN"/>
        </w:rPr>
        <w:t>1010.516236</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1010.516236</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1010.516236</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771.51623</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771.51623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机构改革新成立单位无上年预算收支</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239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239</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机构改革新成立单位无上年预算收支</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财政专户管理资金收入预算。</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国有资本经营收入预算</w:t>
      </w:r>
      <w:r>
        <w:rPr>
          <w:rFonts w:hint="eastAsia" w:ascii="仿宋_GB2312" w:hAnsi="楷体" w:eastAsia="仿宋_GB2312"/>
          <w:kern w:val="0"/>
          <w:sz w:val="32"/>
          <w:szCs w:val="32"/>
          <w:lang w:eastAsia="zh-CN"/>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w:t>
      </w:r>
      <w:r>
        <w:rPr>
          <w:rFonts w:hint="eastAsia" w:ascii="仿宋_GB2312" w:hAnsi="楷体" w:eastAsia="仿宋_GB2312"/>
          <w:kern w:val="0"/>
          <w:sz w:val="32"/>
          <w:szCs w:val="32"/>
        </w:rPr>
        <w:t>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其他资金收入预算。</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lang w:val="en-US" w:eastAsia="zh-CN"/>
        </w:rPr>
        <w:t>1010.516236</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739.988856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739.988856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100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机构改革新成立单位无上年预算收支</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u w:val="none"/>
          <w:lang w:val="en-US" w:eastAsia="zh-CN"/>
        </w:rPr>
        <w:t>16.900844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16.900844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机构改革新成立单位无上年预算收支</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lang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u w:val="none"/>
          <w:lang w:val="en-US" w:eastAsia="zh-CN"/>
        </w:rPr>
        <w:t>7.08036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7.08036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机构改革新成立单位无上年预算收支</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lang w:eastAsia="zh-CN"/>
        </w:rPr>
        <w:t>城乡社区</w:t>
      </w:r>
      <w:r>
        <w:rPr>
          <w:rFonts w:hint="eastAsia" w:ascii="仿宋_GB2312" w:hAnsi="楷体" w:eastAsia="仿宋_GB2312"/>
          <w:kern w:val="0"/>
          <w:sz w:val="32"/>
          <w:szCs w:val="32"/>
          <w:u w:val="none"/>
        </w:rPr>
        <w:t xml:space="preserve">支出 </w:t>
      </w:r>
      <w:r>
        <w:rPr>
          <w:rFonts w:hint="eastAsia" w:ascii="仿宋_GB2312" w:hAnsi="楷体" w:eastAsia="仿宋_GB2312"/>
          <w:kern w:val="0"/>
          <w:sz w:val="32"/>
          <w:szCs w:val="32"/>
          <w:u w:val="none"/>
          <w:lang w:val="en-US" w:eastAsia="zh-CN"/>
        </w:rPr>
        <w:t>239</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239</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p>
    <w:p>
      <w:pPr>
        <w:widowControl/>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lang w:eastAsia="zh-CN"/>
        </w:rPr>
        <w:t>住房保障</w:t>
      </w:r>
      <w:r>
        <w:rPr>
          <w:rFonts w:hint="eastAsia" w:ascii="仿宋_GB2312" w:hAnsi="楷体" w:eastAsia="仿宋_GB2312"/>
          <w:kern w:val="0"/>
          <w:sz w:val="32"/>
          <w:szCs w:val="32"/>
          <w:u w:val="none"/>
        </w:rPr>
        <w:t xml:space="preserve">支出 </w:t>
      </w:r>
      <w:r>
        <w:rPr>
          <w:rFonts w:hint="eastAsia" w:ascii="仿宋_GB2312" w:hAnsi="楷体" w:eastAsia="仿宋_GB2312"/>
          <w:kern w:val="0"/>
          <w:sz w:val="32"/>
          <w:szCs w:val="32"/>
          <w:u w:val="none"/>
          <w:lang w:val="en-US" w:eastAsia="zh-CN"/>
        </w:rPr>
        <w:t>7.546176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7.546176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220.50418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220.50418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。项目支出预算数为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790.012056</w:t>
      </w:r>
      <w:r>
        <w:rPr>
          <w:rFonts w:hint="eastAsia" w:ascii="仿宋_GB2312" w:hAnsi="楷体" w:eastAsia="仿宋_GB2312"/>
          <w:kern w:val="0"/>
          <w:sz w:val="32"/>
          <w:szCs w:val="32"/>
          <w:u w:val="none"/>
        </w:rPr>
        <w:t xml:space="preserve"> 万元。与上年相比增加</w:t>
      </w:r>
      <w:r>
        <w:rPr>
          <w:rFonts w:hint="eastAsia" w:ascii="仿宋_GB2312" w:hAnsi="楷体" w:eastAsia="仿宋_GB2312"/>
          <w:kern w:val="0"/>
          <w:sz w:val="32"/>
          <w:szCs w:val="32"/>
          <w:u w:val="none"/>
          <w:lang w:val="en-US" w:eastAsia="zh-CN"/>
        </w:rPr>
        <w:t>790.012056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襄汾县直属机关事务服务中心</w:t>
      </w:r>
      <w:r>
        <w:rPr>
          <w:rFonts w:hint="eastAsia" w:ascii="仿宋_GB2312" w:hAnsi="楷体" w:eastAsia="仿宋_GB2312"/>
          <w:kern w:val="0"/>
          <w:sz w:val="32"/>
          <w:szCs w:val="32"/>
          <w:u w:val="none"/>
        </w:rPr>
        <w:t xml:space="preserve">本年收入预算合计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1010.516236</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771.516236</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76.35</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239</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23.65</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襄汾县直属机关事务服务中心</w:t>
      </w:r>
      <w:r>
        <w:rPr>
          <w:rFonts w:hint="eastAsia" w:ascii="仿宋_GB2312" w:hAnsi="楷体" w:eastAsia="仿宋_GB2312"/>
          <w:kern w:val="0"/>
          <w:sz w:val="32"/>
          <w:szCs w:val="32"/>
          <w:u w:val="none"/>
        </w:rPr>
        <w:t xml:space="preserve">本年支出预算合计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1010.516236</w:t>
      </w:r>
      <w:r>
        <w:rPr>
          <w:rFonts w:hint="eastAsia" w:ascii="仿宋_GB2312" w:hAnsi="楷体" w:eastAsia="仿宋_GB2312"/>
          <w:kern w:val="0"/>
          <w:sz w:val="32"/>
          <w:szCs w:val="32"/>
          <w:u w:val="none"/>
        </w:rPr>
        <w:t>万元，其中：基本支出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220.50418</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21.82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790.012056</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78.18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襄汾县直属机关事务服务中心</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1010.516236</w:t>
      </w:r>
      <w:r>
        <w:rPr>
          <w:rFonts w:hint="eastAsia" w:ascii="仿宋_GB2312" w:hAnsi="楷体" w:eastAsia="仿宋_GB2312"/>
          <w:kern w:val="0"/>
          <w:sz w:val="32"/>
          <w:szCs w:val="32"/>
          <w:u w:val="none"/>
        </w:rPr>
        <w:t>万元。与上年相比，财政拨款收、支总计各增加</w:t>
      </w:r>
      <w:r>
        <w:rPr>
          <w:rFonts w:hint="eastAsia" w:ascii="仿宋_GB2312" w:hAnsi="楷体" w:eastAsia="仿宋_GB2312"/>
          <w:kern w:val="0"/>
          <w:sz w:val="32"/>
          <w:szCs w:val="32"/>
          <w:u w:val="none"/>
          <w:lang w:val="en-US" w:eastAsia="zh-CN"/>
        </w:rPr>
        <w:t>1010.516236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襄汾县直属机关事务服务中心</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771.516236</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771.516236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襄汾县直属机关事务服务中心</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220.50418</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137.28418</w:t>
      </w:r>
      <w:r>
        <w:rPr>
          <w:rFonts w:hint="eastAsia" w:ascii="仿宋_GB2312" w:hAnsi="楷体" w:eastAsia="仿宋_GB2312"/>
          <w:kern w:val="0"/>
          <w:sz w:val="32"/>
          <w:szCs w:val="32"/>
          <w:u w:val="none"/>
        </w:rPr>
        <w:t>万元。主要包括：基本工资、津贴补贴、奖金、社会保障缴费、伙食补助费、绩效工资、其他工资福利支出、离休费、退休费、抚恤金、生活补助、</w:t>
      </w:r>
      <w:r>
        <w:rPr>
          <w:rFonts w:hint="eastAsia" w:ascii="仿宋_GB2312" w:hAnsi="楷体" w:eastAsia="仿宋_GB2312"/>
          <w:kern w:val="0"/>
          <w:sz w:val="32"/>
          <w:szCs w:val="32"/>
        </w:rPr>
        <w:t>医疗费、奖励金、住房公积金、提租补贴、……、其他对个人和家庭的补助支出。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83.22</w:t>
      </w:r>
      <w:r>
        <w:rPr>
          <w:rFonts w:hint="eastAsia" w:ascii="仿宋_GB2312" w:hAnsi="楷体" w:eastAsia="仿宋_GB2312"/>
          <w:kern w:val="0"/>
          <w:sz w:val="32"/>
          <w:szCs w:val="32"/>
          <w:u w:val="none"/>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襄汾县直属机关事务服务中心</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none"/>
          <w:lang w:val="en-US" w:eastAsia="zh-CN"/>
        </w:rPr>
        <w:t>239</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239</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襄汾县直属机关事务服务中心</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166.72</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79.5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43</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20.5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166.72</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118.72</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118.72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机构改革新成立单位无上年预算收支。</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48</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48</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highlight w:val="none"/>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43</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43</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rPr>
        <w:t>主要原因是</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p>
    <w:p>
      <w:pPr>
        <w:autoSpaceDE w:val="0"/>
        <w:autoSpaceDN w:val="0"/>
        <w:adjustRightInd w:val="0"/>
        <w:ind w:firstLine="800" w:firstLineChars="250"/>
        <w:jc w:val="left"/>
        <w:rPr>
          <w:rFonts w:ascii="仿宋_GB2312" w:hAnsi="楷体" w:eastAsia="仿宋_GB2312"/>
          <w:kern w:val="0"/>
          <w:sz w:val="32"/>
          <w:szCs w:val="32"/>
          <w:highlight w:val="none"/>
          <w:u w:val="none"/>
        </w:rPr>
      </w:pPr>
      <w:r>
        <w:rPr>
          <w:rFonts w:hint="eastAsia" w:ascii="仿宋_GB2312" w:hAnsi="楷体" w:eastAsia="仿宋_GB2312"/>
          <w:kern w:val="0"/>
          <w:sz w:val="32"/>
          <w:szCs w:val="32"/>
          <w:highlight w:val="none"/>
          <w:lang w:eastAsia="zh-CN"/>
        </w:rPr>
        <w:t>襄汾县直属机关事务服务中心</w:t>
      </w:r>
      <w:r>
        <w:rPr>
          <w:rFonts w:ascii="仿宋_GB2312" w:hAnsi="楷体" w:eastAsia="仿宋_GB2312"/>
          <w:kern w:val="0"/>
          <w:sz w:val="32"/>
          <w:szCs w:val="32"/>
          <w:highlight w:val="none"/>
        </w:rPr>
        <w:t>2020</w:t>
      </w:r>
      <w:r>
        <w:rPr>
          <w:rFonts w:hint="eastAsia" w:ascii="仿宋_GB2312" w:hAnsi="楷体" w:eastAsia="仿宋_GB2312"/>
          <w:kern w:val="0"/>
          <w:sz w:val="32"/>
          <w:szCs w:val="32"/>
          <w:highlight w:val="none"/>
        </w:rPr>
        <w:t>年度一般公共预算拨款安排的会议费预算支出</w:t>
      </w:r>
      <w:r>
        <w:rPr>
          <w:rFonts w:hint="eastAsia" w:ascii="仿宋_GB2312" w:hAnsi="楷体" w:eastAsia="仿宋_GB2312"/>
          <w:kern w:val="0"/>
          <w:sz w:val="32"/>
          <w:szCs w:val="32"/>
          <w:highlight w:val="none"/>
          <w:lang w:val="en-US" w:eastAsia="zh-CN"/>
        </w:rPr>
        <w:t>0</w:t>
      </w:r>
      <w:r>
        <w:rPr>
          <w:rFonts w:hint="eastAsia" w:ascii="仿宋_GB2312" w:hAnsi="楷体" w:eastAsia="仿宋_GB2312"/>
          <w:kern w:val="0"/>
          <w:sz w:val="32"/>
          <w:szCs w:val="32"/>
          <w:highlight w:val="none"/>
        </w:rPr>
        <w:t>万元，比上年预算增加（减少）</w:t>
      </w:r>
      <w:r>
        <w:rPr>
          <w:rFonts w:hint="eastAsia" w:ascii="仿宋_GB2312" w:hAnsi="楷体" w:eastAsia="仿宋_GB2312"/>
          <w:kern w:val="0"/>
          <w:sz w:val="32"/>
          <w:szCs w:val="32"/>
          <w:highlight w:val="none"/>
          <w:u w:val="single"/>
        </w:rPr>
        <w:t xml:space="preserve">  </w:t>
      </w:r>
      <w:r>
        <w:rPr>
          <w:rFonts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none"/>
          <w:lang w:val="en-US" w:eastAsia="zh-CN"/>
        </w:rPr>
        <w:t>0</w:t>
      </w:r>
      <w:r>
        <w:rPr>
          <w:rFonts w:hint="eastAsia" w:ascii="仿宋_GB2312" w:hAnsi="楷体" w:eastAsia="仿宋_GB2312"/>
          <w:kern w:val="0"/>
          <w:sz w:val="32"/>
          <w:szCs w:val="32"/>
          <w:highlight w:val="none"/>
          <w:u w:val="none"/>
        </w:rPr>
        <w:t>万元，主要原因</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highlight w:val="none"/>
          <w:u w:val="none"/>
          <w:lang w:eastAsia="zh-CN"/>
        </w:rPr>
        <w:t>襄汾县直属机关事务服务中心</w:t>
      </w:r>
      <w:r>
        <w:rPr>
          <w:rFonts w:ascii="仿宋_GB2312" w:hAnsi="楷体" w:eastAsia="仿宋_GB2312"/>
          <w:kern w:val="0"/>
          <w:sz w:val="32"/>
          <w:szCs w:val="32"/>
          <w:highlight w:val="none"/>
          <w:u w:val="none"/>
        </w:rPr>
        <w:t>2020</w:t>
      </w:r>
      <w:r>
        <w:rPr>
          <w:rFonts w:hint="eastAsia" w:ascii="仿宋_GB2312" w:hAnsi="楷体" w:eastAsia="仿宋_GB2312"/>
          <w:kern w:val="0"/>
          <w:sz w:val="32"/>
          <w:szCs w:val="32"/>
          <w:highlight w:val="none"/>
          <w:u w:val="none"/>
        </w:rPr>
        <w:t>年度一般公共预算拨款安排的培训费预算支出</w:t>
      </w:r>
      <w:r>
        <w:rPr>
          <w:rFonts w:hint="eastAsia" w:ascii="仿宋_GB2312" w:hAnsi="楷体" w:eastAsia="仿宋_GB2312"/>
          <w:kern w:val="0"/>
          <w:sz w:val="32"/>
          <w:szCs w:val="32"/>
          <w:highlight w:val="none"/>
          <w:u w:val="none"/>
          <w:lang w:val="en-US" w:eastAsia="zh-CN"/>
        </w:rPr>
        <w:t>0</w:t>
      </w:r>
      <w:r>
        <w:rPr>
          <w:rFonts w:hint="eastAsia" w:ascii="仿宋_GB2312" w:hAnsi="楷体" w:eastAsia="仿宋_GB2312"/>
          <w:kern w:val="0"/>
          <w:sz w:val="32"/>
          <w:szCs w:val="32"/>
          <w:highlight w:val="none"/>
          <w:u w:val="none"/>
        </w:rPr>
        <w:t xml:space="preserve">万元，比上年预算增加（减少）   </w:t>
      </w:r>
      <w:r>
        <w:rPr>
          <w:rFonts w:hint="eastAsia" w:ascii="仿宋_GB2312" w:hAnsi="楷体" w:eastAsia="仿宋_GB2312"/>
          <w:kern w:val="0"/>
          <w:sz w:val="32"/>
          <w:szCs w:val="32"/>
          <w:highlight w:val="none"/>
          <w:u w:val="none"/>
          <w:lang w:val="en-US" w:eastAsia="zh-CN"/>
        </w:rPr>
        <w:t>0</w:t>
      </w:r>
      <w:r>
        <w:rPr>
          <w:rFonts w:hint="eastAsia" w:ascii="仿宋_GB2312" w:hAnsi="楷体" w:eastAsia="仿宋_GB2312"/>
          <w:kern w:val="0"/>
          <w:sz w:val="32"/>
          <w:szCs w:val="32"/>
          <w:highlight w:val="none"/>
          <w:u w:val="none"/>
        </w:rPr>
        <w:t>万元，主要原因</w:t>
      </w:r>
      <w:r>
        <w:rPr>
          <w:rFonts w:hint="eastAsia" w:ascii="仿宋_GB2312" w:hAnsi="楷体" w:eastAsia="仿宋_GB2312"/>
          <w:kern w:val="0"/>
          <w:sz w:val="32"/>
          <w:szCs w:val="32"/>
          <w:u w:val="none"/>
          <w:lang w:eastAsia="zh-CN"/>
        </w:rPr>
        <w:t>机构改革新成立单位无上年预算收支</w:t>
      </w:r>
      <w:r>
        <w:rPr>
          <w:rFonts w:hint="eastAsia" w:ascii="仿宋_GB2312" w:hAnsi="楷体" w:eastAsia="仿宋_GB2312"/>
          <w:kern w:val="0"/>
          <w:sz w:val="32"/>
          <w:szCs w:val="32"/>
          <w:u w:val="none"/>
        </w:rPr>
        <w:t>。</w:t>
      </w:r>
      <w:bookmarkStart w:id="0" w:name="_GoBack"/>
      <w:bookmarkEnd w:id="0"/>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无机关运行经费。</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没有政府采购情况。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本部门共有车辆 </w:t>
      </w:r>
      <w:r>
        <w:rPr>
          <w:rFonts w:hint="eastAsia" w:ascii="仿宋_GB2312" w:hAnsi="楷体" w:eastAsia="仿宋_GB2312"/>
          <w:kern w:val="0"/>
          <w:sz w:val="32"/>
          <w:szCs w:val="32"/>
          <w:u w:val="none"/>
          <w:lang w:val="en-US" w:eastAsia="zh-CN"/>
        </w:rPr>
        <w:t>27</w:t>
      </w:r>
      <w:r>
        <w:rPr>
          <w:rFonts w:hint="eastAsia" w:ascii="仿宋_GB2312" w:hAnsi="楷体" w:eastAsia="仿宋_GB2312"/>
          <w:kern w:val="0"/>
          <w:sz w:val="32"/>
          <w:szCs w:val="32"/>
          <w:u w:val="none"/>
        </w:rPr>
        <w:t xml:space="preserve"> 辆，其中，一般公务用车</w:t>
      </w:r>
      <w:r>
        <w:rPr>
          <w:rFonts w:hint="eastAsia" w:ascii="仿宋_GB2312" w:hAnsi="楷体" w:eastAsia="仿宋_GB2312"/>
          <w:kern w:val="0"/>
          <w:sz w:val="32"/>
          <w:szCs w:val="32"/>
          <w:u w:val="none"/>
          <w:lang w:val="en-US" w:eastAsia="zh-CN"/>
        </w:rPr>
        <w:t>27</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790.012056</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 xml:space="preserve">纳入、□未纳入）绩效目标管理，涉及财政性资金 </w:t>
      </w:r>
      <w:r>
        <w:rPr>
          <w:rFonts w:hint="eastAsia" w:ascii="仿宋_GB2312" w:hAnsi="楷体" w:eastAsia="仿宋_GB2312"/>
          <w:kern w:val="0"/>
          <w:sz w:val="32"/>
          <w:szCs w:val="32"/>
          <w:u w:val="none"/>
          <w:lang w:val="en-US" w:eastAsia="zh-CN"/>
        </w:rPr>
        <w:t>790.012056</w:t>
      </w:r>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HTK--GBK1-0">
    <w:altName w:val="Arial Unicode MS"/>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abstractNum w:abstractNumId="1">
    <w:nsid w:val="5A45AE98"/>
    <w:multiLevelType w:val="singleLevel"/>
    <w:tmpl w:val="5A45AE9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D53D74"/>
    <w:rsid w:val="02F71C94"/>
    <w:rsid w:val="03025333"/>
    <w:rsid w:val="042A46B1"/>
    <w:rsid w:val="047252B7"/>
    <w:rsid w:val="0595462A"/>
    <w:rsid w:val="05E51BD6"/>
    <w:rsid w:val="068F085F"/>
    <w:rsid w:val="06C82279"/>
    <w:rsid w:val="09ED16A4"/>
    <w:rsid w:val="0A395A2B"/>
    <w:rsid w:val="0A781506"/>
    <w:rsid w:val="0A831A07"/>
    <w:rsid w:val="0A97299D"/>
    <w:rsid w:val="0B7A268C"/>
    <w:rsid w:val="0C550EC0"/>
    <w:rsid w:val="0D7D5F70"/>
    <w:rsid w:val="0ECF36D9"/>
    <w:rsid w:val="0FAC09AE"/>
    <w:rsid w:val="10675503"/>
    <w:rsid w:val="10F95EB1"/>
    <w:rsid w:val="11910BD1"/>
    <w:rsid w:val="12AC5325"/>
    <w:rsid w:val="13D31AA5"/>
    <w:rsid w:val="14897DBA"/>
    <w:rsid w:val="15AA05C2"/>
    <w:rsid w:val="16027FF2"/>
    <w:rsid w:val="16407400"/>
    <w:rsid w:val="164D2E81"/>
    <w:rsid w:val="16A97B7B"/>
    <w:rsid w:val="16B00739"/>
    <w:rsid w:val="16EE112A"/>
    <w:rsid w:val="17A809B3"/>
    <w:rsid w:val="18692FEC"/>
    <w:rsid w:val="189004E1"/>
    <w:rsid w:val="18B6710C"/>
    <w:rsid w:val="19B3058F"/>
    <w:rsid w:val="19CE7BD6"/>
    <w:rsid w:val="19D410BE"/>
    <w:rsid w:val="19EF64A7"/>
    <w:rsid w:val="1AEA4822"/>
    <w:rsid w:val="1DBF43F1"/>
    <w:rsid w:val="1E46404A"/>
    <w:rsid w:val="1E8B07BA"/>
    <w:rsid w:val="1F167368"/>
    <w:rsid w:val="1FD5315A"/>
    <w:rsid w:val="20154AC9"/>
    <w:rsid w:val="201741C1"/>
    <w:rsid w:val="20953A56"/>
    <w:rsid w:val="20B465EE"/>
    <w:rsid w:val="22461B1D"/>
    <w:rsid w:val="229A0D7C"/>
    <w:rsid w:val="22DF6CA5"/>
    <w:rsid w:val="23613E3F"/>
    <w:rsid w:val="23C10D48"/>
    <w:rsid w:val="23D52ACB"/>
    <w:rsid w:val="23F2500F"/>
    <w:rsid w:val="24D33A48"/>
    <w:rsid w:val="25E423B1"/>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205134"/>
    <w:rsid w:val="30B46CA3"/>
    <w:rsid w:val="316856A6"/>
    <w:rsid w:val="31CA3EE9"/>
    <w:rsid w:val="32103D80"/>
    <w:rsid w:val="32673A99"/>
    <w:rsid w:val="32CE2438"/>
    <w:rsid w:val="34732E94"/>
    <w:rsid w:val="34C942F5"/>
    <w:rsid w:val="34DE6D61"/>
    <w:rsid w:val="34E67B34"/>
    <w:rsid w:val="35780C7F"/>
    <w:rsid w:val="36951834"/>
    <w:rsid w:val="36D55DA2"/>
    <w:rsid w:val="373B78F2"/>
    <w:rsid w:val="3856775D"/>
    <w:rsid w:val="395C094E"/>
    <w:rsid w:val="397841A2"/>
    <w:rsid w:val="39B865D7"/>
    <w:rsid w:val="39C35268"/>
    <w:rsid w:val="39FD2297"/>
    <w:rsid w:val="3A895E1E"/>
    <w:rsid w:val="3ABA5314"/>
    <w:rsid w:val="3B0872A5"/>
    <w:rsid w:val="3C9A09D4"/>
    <w:rsid w:val="3D036264"/>
    <w:rsid w:val="3D11386C"/>
    <w:rsid w:val="3D6345D6"/>
    <w:rsid w:val="3E1A1733"/>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5912254"/>
    <w:rsid w:val="460F1E6F"/>
    <w:rsid w:val="46463CE7"/>
    <w:rsid w:val="47D23E6D"/>
    <w:rsid w:val="47EE3BCE"/>
    <w:rsid w:val="47FE351E"/>
    <w:rsid w:val="48882984"/>
    <w:rsid w:val="49FF0CFB"/>
    <w:rsid w:val="4B517DBB"/>
    <w:rsid w:val="4BEC58E9"/>
    <w:rsid w:val="4BF3571C"/>
    <w:rsid w:val="4CCC2331"/>
    <w:rsid w:val="4D6954BF"/>
    <w:rsid w:val="502B1701"/>
    <w:rsid w:val="50BC7B39"/>
    <w:rsid w:val="51414DE4"/>
    <w:rsid w:val="517B3662"/>
    <w:rsid w:val="51F82F6D"/>
    <w:rsid w:val="527C3191"/>
    <w:rsid w:val="53DD6BA8"/>
    <w:rsid w:val="53F21A3F"/>
    <w:rsid w:val="55B2288E"/>
    <w:rsid w:val="55CB4852"/>
    <w:rsid w:val="579E20B3"/>
    <w:rsid w:val="58430EF3"/>
    <w:rsid w:val="58AA41B4"/>
    <w:rsid w:val="58D6063F"/>
    <w:rsid w:val="59AC6411"/>
    <w:rsid w:val="5A22632C"/>
    <w:rsid w:val="5AB04B75"/>
    <w:rsid w:val="5B494D63"/>
    <w:rsid w:val="5B9F36DE"/>
    <w:rsid w:val="5CA16867"/>
    <w:rsid w:val="5D15053E"/>
    <w:rsid w:val="5D15689C"/>
    <w:rsid w:val="5F074BD6"/>
    <w:rsid w:val="5F4C57DE"/>
    <w:rsid w:val="5F767359"/>
    <w:rsid w:val="5FA40E1A"/>
    <w:rsid w:val="5FAE6B95"/>
    <w:rsid w:val="60AD072C"/>
    <w:rsid w:val="61A97E4C"/>
    <w:rsid w:val="61DD0C1B"/>
    <w:rsid w:val="62680D4E"/>
    <w:rsid w:val="63804CC1"/>
    <w:rsid w:val="63CA0901"/>
    <w:rsid w:val="63DC3A6F"/>
    <w:rsid w:val="64535518"/>
    <w:rsid w:val="64A47E04"/>
    <w:rsid w:val="64AE406A"/>
    <w:rsid w:val="64E61465"/>
    <w:rsid w:val="65A60FF6"/>
    <w:rsid w:val="67573C0D"/>
    <w:rsid w:val="67606103"/>
    <w:rsid w:val="67EB6718"/>
    <w:rsid w:val="67F30197"/>
    <w:rsid w:val="68C7713A"/>
    <w:rsid w:val="68D2531D"/>
    <w:rsid w:val="68EE0DE8"/>
    <w:rsid w:val="68F242AC"/>
    <w:rsid w:val="6A3D1D66"/>
    <w:rsid w:val="6AA27A9D"/>
    <w:rsid w:val="6ABB4B62"/>
    <w:rsid w:val="6B73082E"/>
    <w:rsid w:val="6BDA5B2B"/>
    <w:rsid w:val="6DD00F51"/>
    <w:rsid w:val="6E130B2A"/>
    <w:rsid w:val="6E5205D8"/>
    <w:rsid w:val="6EDA2E31"/>
    <w:rsid w:val="6FC77BC7"/>
    <w:rsid w:val="70C61C0B"/>
    <w:rsid w:val="70E334F7"/>
    <w:rsid w:val="714F3317"/>
    <w:rsid w:val="71D47169"/>
    <w:rsid w:val="720A3FB4"/>
    <w:rsid w:val="72C23FBE"/>
    <w:rsid w:val="72F81C9E"/>
    <w:rsid w:val="73186678"/>
    <w:rsid w:val="736E3BAB"/>
    <w:rsid w:val="73B54B55"/>
    <w:rsid w:val="73DF4C0A"/>
    <w:rsid w:val="75A56425"/>
    <w:rsid w:val="761362F3"/>
    <w:rsid w:val="762C64B8"/>
    <w:rsid w:val="77481BE2"/>
    <w:rsid w:val="77915F20"/>
    <w:rsid w:val="78317136"/>
    <w:rsid w:val="78713E09"/>
    <w:rsid w:val="78801057"/>
    <w:rsid w:val="79333014"/>
    <w:rsid w:val="79CF384F"/>
    <w:rsid w:val="7A0A6456"/>
    <w:rsid w:val="7A82651F"/>
    <w:rsid w:val="7ADE0B82"/>
    <w:rsid w:val="7AED2B21"/>
    <w:rsid w:val="7B3A5C4F"/>
    <w:rsid w:val="7B787240"/>
    <w:rsid w:val="7BB41C66"/>
    <w:rsid w:val="7BDD1E70"/>
    <w:rsid w:val="7C2B4619"/>
    <w:rsid w:val="7C605D84"/>
    <w:rsid w:val="7CB85B57"/>
    <w:rsid w:val="7CBB5016"/>
    <w:rsid w:val="7CEF193A"/>
    <w:rsid w:val="7CF0736A"/>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2020-05-19T03:47:00Z</cp:lastPrinted>
  <dcterms:modified xsi:type="dcterms:W3CDTF">2020-05-26T07:39:58Z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