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44"/>
          <w:szCs w:val="44"/>
          <w:u w:val="none"/>
          <w:lang w:eastAsia="zh-CN"/>
        </w:rPr>
      </w:pPr>
    </w:p>
    <w:p>
      <w:pPr>
        <w:widowControl/>
        <w:jc w:val="center"/>
        <w:rPr>
          <w:rFonts w:hint="eastAsia" w:ascii="宋体" w:hAnsi="宋体" w:eastAsia="宋体" w:cs="宋体"/>
          <w:b/>
          <w:bCs/>
          <w:kern w:val="0"/>
          <w:sz w:val="44"/>
          <w:szCs w:val="44"/>
          <w:u w:val="none"/>
          <w:lang w:eastAsia="zh-CN"/>
        </w:rPr>
      </w:pPr>
      <w:bookmarkStart w:id="0" w:name="_GoBack"/>
      <w:bookmarkEnd w:id="0"/>
      <w:r>
        <w:rPr>
          <w:rFonts w:hint="eastAsia" w:ascii="宋体" w:hAnsi="宋体" w:eastAsia="宋体" w:cs="宋体"/>
          <w:b/>
          <w:bCs/>
          <w:kern w:val="0"/>
          <w:sz w:val="44"/>
          <w:szCs w:val="44"/>
          <w:u w:val="none"/>
          <w:lang w:eastAsia="zh-CN"/>
        </w:rPr>
        <w:t>中共襄汾县委组织部</w:t>
      </w: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2020</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rPr>
          <w:rFonts w:hint="eastAsia"/>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660" w:lineRule="exact"/>
        <w:ind w:firstLine="640"/>
        <w:textAlignment w:val="auto"/>
        <w:rPr>
          <w:rFonts w:hint="eastAsia" w:ascii="仿宋" w:hAnsi="仿宋" w:eastAsia="仿宋" w:cs="仿宋"/>
          <w:b/>
          <w:bCs/>
          <w:kern w:val="0"/>
          <w:sz w:val="32"/>
          <w:szCs w:val="32"/>
          <w:u w:val="none"/>
        </w:rPr>
      </w:pPr>
      <w:r>
        <w:rPr>
          <w:rFonts w:hint="eastAsia" w:ascii="仿宋" w:hAnsi="仿宋" w:eastAsia="仿宋" w:cs="仿宋"/>
          <w:b/>
          <w:bCs/>
          <w:kern w:val="0"/>
          <w:sz w:val="32"/>
          <w:szCs w:val="32"/>
          <w:u w:val="none"/>
        </w:rPr>
        <w:t>一、本部门职责</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中共襄汾县委组织部是县委主管组织、干部和人才工作的职能部门，为正科级，加挂襄汾县公务员局牌子。主要职责是：</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（一）根据党的路线、方针、政策和县委的安排部署，研究制定全县组织、干部、人才工作的政策和规划，提出具体措施并组织实施。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（二）提出列入县委及本部管理的干部及领导班子建设、调整、配备的意见和建议。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（三）负责全县党员、干部队伍的宏观管理工作和选拔培养中青年干部工作。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（四）按照党章规定，协调、规划和指导全县各级党组织建设、党员教育管理和发展工作。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（五）调查研究拟定全县组织、干部人事工作的主要政策和制度，指导干部人事制度改革。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（六）主管全县干部教育工作，制定落实干部教育规划，负责全县人才工作的宏观指导、组织协调、督促检查。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（七）负责全县组织、干部人事工作的检查督促，向县委和上级组织部门反映有关情况并提出建议。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（八）负责全县离退休干部宏观管理，落实离退休干部政策，管理县委老干部局。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（九）统一管理公务员工作，落实公务员法和配套法规政策的实施。</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（十）统一管理中共襄汾县委机构编制委员会办公室。</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（十一）负责《党政领导干部选拔任用工作条例》贯彻落实情况的监督、检查，对领导干部进行监督管理。受理党员、干部的来信来访，承办有关干部问题的调查审理工作。 </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（十二）承办县委和临汾市委组织部交办的其他工作。 </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3" w:firstLineChars="200"/>
        <w:textAlignment w:val="auto"/>
        <w:rPr>
          <w:rFonts w:hint="eastAsia" w:ascii="仿宋" w:hAnsi="仿宋" w:eastAsia="仿宋" w:cs="仿宋"/>
          <w:b/>
          <w:bCs/>
          <w:kern w:val="0"/>
          <w:sz w:val="32"/>
          <w:szCs w:val="32"/>
          <w:u w:val="none"/>
        </w:rPr>
      </w:pPr>
      <w:r>
        <w:rPr>
          <w:rFonts w:hint="eastAsia" w:ascii="仿宋" w:hAnsi="仿宋" w:eastAsia="仿宋" w:cs="仿宋"/>
          <w:b/>
          <w:bCs/>
          <w:kern w:val="0"/>
          <w:sz w:val="32"/>
          <w:szCs w:val="32"/>
          <w:u w:val="none"/>
          <w:lang w:eastAsia="zh-CN"/>
        </w:rPr>
        <w:t>二、</w:t>
      </w:r>
      <w:r>
        <w:rPr>
          <w:rFonts w:hint="eastAsia" w:ascii="仿宋" w:hAnsi="仿宋" w:eastAsia="仿宋" w:cs="仿宋"/>
          <w:b/>
          <w:bCs/>
          <w:kern w:val="0"/>
          <w:sz w:val="32"/>
          <w:szCs w:val="32"/>
          <w:u w:val="none"/>
        </w:rPr>
        <w:t>部门机构设置及预算单位构成情况</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w:t>
      </w:r>
      <w:r>
        <w:rPr>
          <w:rFonts w:hint="eastAsia" w:ascii="仿宋" w:hAnsi="仿宋" w:eastAsia="仿宋" w:cs="仿宋"/>
          <w:kern w:val="0"/>
          <w:sz w:val="32"/>
          <w:szCs w:val="32"/>
          <w:u w:val="none"/>
        </w:rPr>
        <w:t>．</w:t>
      </w:r>
      <w:r>
        <w:rPr>
          <w:rFonts w:hint="eastAsia" w:ascii="仿宋" w:hAnsi="仿宋" w:eastAsia="仿宋" w:cs="仿宋"/>
          <w:sz w:val="32"/>
          <w:szCs w:val="32"/>
          <w:u w:val="none"/>
          <w:lang w:val="en-US" w:eastAsia="zh-CN"/>
        </w:rPr>
        <w:t>中共襄汾县委组织部内部机构设置有办公室（研究室）、组织一室、组织二室、组织三室、干部任免室、干部教育室、干部监督室、干部综合室（公务员室）、人才工作室、目标责任考核室；2个参公事业单位，包括电教中心、信息中心；1个事业单位，党代表联络中心。</w:t>
      </w:r>
    </w:p>
    <w:p>
      <w:pPr>
        <w:keepNext w:val="0"/>
        <w:keepLines w:val="0"/>
        <w:pageBreakBefore w:val="0"/>
        <w:kinsoku/>
        <w:wordWrap/>
        <w:overflowPunct/>
        <w:topLinePunct w:val="0"/>
        <w:autoSpaceDE/>
        <w:autoSpaceDN/>
        <w:bidi w:val="0"/>
        <w:adjustRightInd/>
        <w:snapToGrid/>
        <w:spacing w:line="660" w:lineRule="exact"/>
        <w:ind w:firstLine="640"/>
        <w:textAlignment w:val="auto"/>
        <w:rPr>
          <w:rFonts w:hint="default" w:ascii="仿宋_GB2312" w:hAnsi="楷体" w:eastAsia="仿宋_GB2312"/>
          <w:kern w:val="0"/>
          <w:sz w:val="32"/>
          <w:szCs w:val="32"/>
          <w:u w:val="none"/>
          <w:lang w:val="en-US"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．从预算单位构成看，纳入本部门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年部门汇总预算编制范围的预算单位共计</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家，具体包括：</w:t>
      </w:r>
      <w:r>
        <w:rPr>
          <w:rFonts w:hint="eastAsia" w:ascii="仿宋_GB2312" w:hAnsi="楷体" w:eastAsia="仿宋_GB2312"/>
          <w:kern w:val="0"/>
          <w:sz w:val="32"/>
          <w:szCs w:val="32"/>
          <w:u w:val="none"/>
          <w:lang w:eastAsia="zh-CN"/>
        </w:rPr>
        <w:t>中共襄汾县委组织部</w:t>
      </w:r>
      <w:r>
        <w:rPr>
          <w:rFonts w:hint="eastAsia" w:ascii="仿宋_GB2312" w:hAnsi="楷体" w:eastAsia="仿宋_GB2312"/>
          <w:kern w:val="0"/>
          <w:sz w:val="32"/>
          <w:szCs w:val="32"/>
          <w:u w:val="none"/>
        </w:rPr>
        <w:t>本级。</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年预算收支总表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年“三公”经费预算财政拨款情况表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年机关运行经费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中共襄汾县委组织部</w:t>
      </w:r>
      <w:r>
        <w:rPr>
          <w:rFonts w:hint="eastAsia" w:ascii="仿宋_GB2312" w:hAnsi="楷体" w:eastAsia="仿宋_GB2312"/>
          <w:kern w:val="0"/>
          <w:sz w:val="32"/>
          <w:szCs w:val="32"/>
          <w:u w:val="none"/>
        </w:rPr>
        <w:t>2020年</w:t>
      </w:r>
      <w:r>
        <w:rPr>
          <w:rFonts w:hint="eastAsia" w:ascii="仿宋_GB2312" w:hAnsi="仿宋" w:eastAsia="仿宋_GB2312" w:cs="宋体"/>
          <w:kern w:val="0"/>
          <w:sz w:val="32"/>
          <w:szCs w:val="32"/>
          <w:u w:val="none"/>
        </w:rPr>
        <w:t>政府采购支出预算表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val="en-US" w:eastAsia="zh-CN"/>
        </w:rPr>
        <w:t>中共襄汾县委组织部</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年项目支出绩效目标表</w:t>
      </w:r>
    </w:p>
    <w:p>
      <w:pPr>
        <w:widowControl/>
        <w:spacing w:line="560" w:lineRule="exact"/>
        <w:jc w:val="center"/>
        <w:rPr>
          <w:rFonts w:hint="eastAsia" w:ascii="黑体" w:hAnsi="Times New Roman" w:eastAsia="黑体"/>
          <w:kern w:val="0"/>
          <w:sz w:val="32"/>
          <w:szCs w:val="32"/>
          <w:u w:val="none"/>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年度部门预算情况说明</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b/>
          <w:bCs/>
          <w:kern w:val="0"/>
          <w:sz w:val="32"/>
          <w:szCs w:val="32"/>
          <w:u w:val="none"/>
        </w:rPr>
      </w:pP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b/>
          <w:bCs/>
          <w:kern w:val="0"/>
          <w:sz w:val="32"/>
          <w:szCs w:val="32"/>
          <w:u w:val="none"/>
        </w:rPr>
      </w:pPr>
      <w:r>
        <w:rPr>
          <w:rFonts w:hint="eastAsia" w:ascii="仿宋_GB2312" w:hAnsi="楷体" w:eastAsia="仿宋_GB2312"/>
          <w:b/>
          <w:bCs/>
          <w:kern w:val="0"/>
          <w:sz w:val="32"/>
          <w:szCs w:val="32"/>
          <w:u w:val="none"/>
        </w:rPr>
        <w:t>一、收支预算总体情况说明</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1050.292848</w:t>
      </w:r>
      <w:r>
        <w:rPr>
          <w:rFonts w:hint="eastAsia" w:ascii="仿宋_GB2312" w:hAnsi="楷体" w:eastAsia="仿宋_GB2312"/>
          <w:kern w:val="0"/>
          <w:sz w:val="32"/>
          <w:szCs w:val="32"/>
          <w:u w:val="none"/>
        </w:rPr>
        <w:t>万元，与上年相比收、支预算总计各增加</w:t>
      </w:r>
      <w:r>
        <w:rPr>
          <w:rFonts w:hint="eastAsia" w:ascii="仿宋_GB2312" w:hAnsi="楷体" w:eastAsia="仿宋_GB2312"/>
          <w:kern w:val="0"/>
          <w:sz w:val="32"/>
          <w:szCs w:val="32"/>
          <w:u w:val="none"/>
          <w:lang w:val="en-US" w:eastAsia="zh-CN"/>
        </w:rPr>
        <w:t>442.25624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72.74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1050.292848</w:t>
      </w:r>
      <w:r>
        <w:rPr>
          <w:rFonts w:hint="eastAsia" w:ascii="仿宋_GB2312" w:hAnsi="楷体" w:eastAsia="仿宋_GB2312"/>
          <w:kern w:val="0"/>
          <w:sz w:val="32"/>
          <w:szCs w:val="32"/>
          <w:u w:val="none"/>
        </w:rPr>
        <w:t>万元。包括：</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1050.292848</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500.292848</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107.74376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17.72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在职人员调入调出、离退休人员减少，减少日常公用支出、办公支出。</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550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550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结合市委组织部年初工作要点要求，建设一个县级党群服务中心，预算550万元</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1050.292848</w:t>
      </w:r>
      <w:r>
        <w:rPr>
          <w:rFonts w:hint="eastAsia" w:ascii="仿宋_GB2312" w:hAnsi="楷体" w:eastAsia="仿宋_GB2312"/>
          <w:kern w:val="0"/>
          <w:sz w:val="32"/>
          <w:szCs w:val="32"/>
          <w:u w:val="none"/>
        </w:rPr>
        <w:t>万元。包括：</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438.5264</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eastAsia="zh-CN"/>
        </w:rPr>
        <w:t>人员工资福利支出、</w:t>
      </w:r>
      <w:r>
        <w:rPr>
          <w:rFonts w:hint="eastAsia" w:ascii="仿宋_GB2312" w:hAnsi="楷体" w:eastAsia="仿宋_GB2312"/>
          <w:kern w:val="0"/>
          <w:sz w:val="32"/>
          <w:szCs w:val="32"/>
          <w:u w:val="none"/>
          <w:lang w:val="en-US" w:eastAsia="zh-CN"/>
        </w:rPr>
        <w:t>日常公用办公支出</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87.7786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16.68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w:t>
      </w:r>
      <w:r>
        <w:rPr>
          <w:rFonts w:hint="eastAsia" w:ascii="仿宋_GB2312" w:hAnsi="楷体" w:eastAsia="仿宋_GB2312"/>
          <w:kern w:val="0"/>
          <w:sz w:val="32"/>
          <w:szCs w:val="32"/>
          <w:u w:val="none"/>
          <w:lang w:val="en-US" w:eastAsia="zh-CN"/>
        </w:rPr>
        <w:t>调入调出、离退休人员减少、减少日常办公支出</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社会保障和就业支出</w:t>
      </w:r>
      <w:r>
        <w:rPr>
          <w:rFonts w:hint="eastAsia" w:ascii="仿宋_GB2312" w:hAnsi="楷体" w:eastAsia="仿宋_GB2312"/>
          <w:kern w:val="0"/>
          <w:sz w:val="32"/>
          <w:szCs w:val="32"/>
          <w:u w:val="none"/>
          <w:lang w:val="en-US" w:eastAsia="zh-CN"/>
        </w:rPr>
        <w:t>32.51184</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eastAsia="zh-CN"/>
        </w:rPr>
        <w:t>在职、离退休人员养老、失业、工伤等保险支出</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22.087264</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40.45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在职人员调出减少，退休人员减少。</w:t>
      </w:r>
    </w:p>
    <w:p>
      <w:pPr>
        <w:keepNext w:val="0"/>
        <w:keepLines w:val="0"/>
        <w:pageBreakBefore w:val="0"/>
        <w:widowControl/>
        <w:kinsoku/>
        <w:wordWrap/>
        <w:overflowPunct/>
        <w:topLinePunct w:val="0"/>
        <w:bidi w:val="0"/>
        <w:snapToGrid/>
        <w:spacing w:line="600" w:lineRule="exact"/>
        <w:ind w:left="160" w:leftChars="76" w:firstLine="480" w:firstLineChars="150"/>
        <w:textAlignment w:val="auto"/>
        <w:rPr>
          <w:rFonts w:hint="eastAsia"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卫生健康支出</w:t>
      </w:r>
      <w:r>
        <w:rPr>
          <w:rFonts w:hint="eastAsia" w:ascii="仿宋_GB2312" w:hAnsi="楷体" w:eastAsia="仿宋_GB2312"/>
          <w:kern w:val="0"/>
          <w:sz w:val="32"/>
          <w:szCs w:val="32"/>
          <w:u w:val="none"/>
        </w:rPr>
        <w:t>预算数为</w:t>
      </w:r>
      <w:r>
        <w:rPr>
          <w:rFonts w:hint="eastAsia" w:ascii="仿宋_GB2312" w:hAnsi="楷体" w:eastAsia="仿宋_GB2312"/>
          <w:kern w:val="0"/>
          <w:sz w:val="32"/>
          <w:szCs w:val="32"/>
          <w:u w:val="none"/>
          <w:lang w:val="en-US" w:eastAsia="zh-CN"/>
        </w:rPr>
        <w:t>13.46058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1.495056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12.49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人员晋升职务职级、升档升级，医疗保险补助增加。</w:t>
      </w:r>
    </w:p>
    <w:p>
      <w:pPr>
        <w:keepNext w:val="0"/>
        <w:keepLines w:val="0"/>
        <w:pageBreakBefore w:val="0"/>
        <w:widowControl/>
        <w:kinsoku/>
        <w:wordWrap/>
        <w:overflowPunct/>
        <w:topLinePunct w:val="0"/>
        <w:bidi w:val="0"/>
        <w:snapToGrid/>
        <w:spacing w:line="600" w:lineRule="exact"/>
        <w:ind w:left="160" w:leftChars="76" w:firstLine="480" w:firstLineChars="150"/>
        <w:textAlignment w:val="auto"/>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城乡社区支出</w:t>
      </w:r>
      <w:r>
        <w:rPr>
          <w:rFonts w:hint="eastAsia" w:ascii="仿宋_GB2312" w:hAnsi="楷体" w:eastAsia="仿宋_GB2312"/>
          <w:kern w:val="0"/>
          <w:sz w:val="32"/>
          <w:szCs w:val="32"/>
          <w:u w:val="none"/>
        </w:rPr>
        <w:t>预算数为</w:t>
      </w:r>
      <w:r>
        <w:rPr>
          <w:rFonts w:hint="eastAsia" w:ascii="仿宋_GB2312" w:hAnsi="楷体" w:eastAsia="仿宋_GB2312"/>
          <w:kern w:val="0"/>
          <w:sz w:val="32"/>
          <w:szCs w:val="32"/>
          <w:u w:val="none"/>
          <w:lang w:val="en-US" w:eastAsia="zh-CN"/>
        </w:rPr>
        <w:t>550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550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按照市委组织部年初工作要点，建设一个县级党群服务中心。</w:t>
      </w:r>
    </w:p>
    <w:p>
      <w:pPr>
        <w:keepNext w:val="0"/>
        <w:keepLines w:val="0"/>
        <w:pageBreakBefore w:val="0"/>
        <w:widowControl/>
        <w:kinsoku/>
        <w:wordWrap/>
        <w:overflowPunct/>
        <w:topLinePunct w:val="0"/>
        <w:bidi w:val="0"/>
        <w:snapToGrid/>
        <w:spacing w:line="600" w:lineRule="exact"/>
        <w:ind w:left="160" w:leftChars="76" w:firstLine="480" w:firstLineChars="150"/>
        <w:textAlignment w:val="auto"/>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住房保障支出预算数为</w:t>
      </w:r>
      <w:r>
        <w:rPr>
          <w:rFonts w:hint="eastAsia" w:ascii="仿宋_GB2312" w:hAnsi="楷体" w:eastAsia="仿宋_GB2312"/>
          <w:kern w:val="0"/>
          <w:sz w:val="32"/>
          <w:szCs w:val="32"/>
          <w:u w:val="none"/>
          <w:lang w:val="en-US" w:eastAsia="zh-CN"/>
        </w:rPr>
        <w:t>15.794028万元。</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0.627048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0.41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人员晋升职务职级，住房公积金标准提高。</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b/>
          <w:bCs/>
          <w:kern w:val="0"/>
          <w:sz w:val="32"/>
          <w:szCs w:val="32"/>
          <w:u w:val="none"/>
        </w:rPr>
      </w:pPr>
      <w:r>
        <w:rPr>
          <w:rFonts w:hint="eastAsia" w:ascii="仿宋_GB2312" w:hAnsi="楷体" w:eastAsia="仿宋_GB2312"/>
          <w:b/>
          <w:bCs/>
          <w:kern w:val="0"/>
          <w:sz w:val="32"/>
          <w:szCs w:val="32"/>
          <w:u w:val="none"/>
        </w:rPr>
        <w:t>二、收入预算情况说明</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1050.292848</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500.292848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47.63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550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52.37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b/>
          <w:bCs/>
          <w:kern w:val="0"/>
          <w:sz w:val="32"/>
          <w:szCs w:val="32"/>
          <w:u w:val="none"/>
        </w:rPr>
      </w:pPr>
      <w:r>
        <w:rPr>
          <w:rFonts w:hint="eastAsia" w:ascii="仿宋_GB2312" w:hAnsi="楷体" w:eastAsia="仿宋_GB2312"/>
          <w:b/>
          <w:bCs/>
          <w:kern w:val="0"/>
          <w:sz w:val="32"/>
          <w:szCs w:val="32"/>
          <w:u w:val="none"/>
        </w:rPr>
        <w:t>三、支出预算情况说明</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1050.292848</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285.157848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27.15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765.135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72.85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b/>
          <w:bCs/>
          <w:kern w:val="0"/>
          <w:sz w:val="32"/>
          <w:szCs w:val="32"/>
          <w:u w:val="none"/>
        </w:rPr>
      </w:pPr>
      <w:r>
        <w:rPr>
          <w:rFonts w:hint="eastAsia" w:ascii="仿宋_GB2312" w:hAnsi="楷体" w:eastAsia="仿宋_GB2312"/>
          <w:b/>
          <w:bCs/>
          <w:kern w:val="0"/>
          <w:sz w:val="32"/>
          <w:szCs w:val="32"/>
          <w:u w:val="none"/>
        </w:rPr>
        <w:t>四、财政拨款收支预算总体情况说明</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1050.292848</w:t>
      </w:r>
      <w:r>
        <w:rPr>
          <w:rFonts w:hint="eastAsia" w:ascii="仿宋_GB2312" w:hAnsi="楷体" w:eastAsia="仿宋_GB2312"/>
          <w:kern w:val="0"/>
          <w:sz w:val="32"/>
          <w:szCs w:val="32"/>
          <w:u w:val="none"/>
        </w:rPr>
        <w:t>万元。与上年相比，财政拨款收、支总计各</w:t>
      </w:r>
      <w:r>
        <w:rPr>
          <w:rFonts w:hint="eastAsia" w:ascii="仿宋_GB2312" w:hAnsi="楷体" w:eastAsia="仿宋_GB2312"/>
          <w:kern w:val="0"/>
          <w:sz w:val="32"/>
          <w:szCs w:val="32"/>
          <w:u w:val="none"/>
          <w:lang w:val="en-US" w:eastAsia="zh-CN"/>
        </w:rPr>
        <w:t>增加442.25624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72.74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人员晋升职级职务，工资标准提高。人员调入调出、离退休人员减少。按照市委组织部工作要点，建设一个县级党群服务中心</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b/>
          <w:bCs/>
          <w:kern w:val="0"/>
          <w:sz w:val="32"/>
          <w:szCs w:val="32"/>
          <w:u w:val="none"/>
        </w:rPr>
      </w:pPr>
      <w:r>
        <w:rPr>
          <w:rFonts w:hint="eastAsia" w:ascii="仿宋_GB2312" w:hAnsi="楷体" w:eastAsia="仿宋_GB2312"/>
          <w:b/>
          <w:bCs/>
          <w:kern w:val="0"/>
          <w:sz w:val="32"/>
          <w:szCs w:val="32"/>
          <w:u w:val="none"/>
        </w:rPr>
        <w:t>五、一般公共预算支出预算情况说明</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500.292848</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107.74376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17.72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在职人员调入调出、离退休人员减少，减少日常公用支出、办公支出。</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b/>
          <w:bCs/>
          <w:kern w:val="0"/>
          <w:sz w:val="32"/>
          <w:szCs w:val="32"/>
          <w:u w:val="none"/>
        </w:rPr>
      </w:pPr>
      <w:r>
        <w:rPr>
          <w:rFonts w:hint="eastAsia" w:ascii="仿宋_GB2312" w:hAnsi="楷体" w:eastAsia="仿宋_GB2312"/>
          <w:b/>
          <w:bCs/>
          <w:kern w:val="0"/>
          <w:sz w:val="32"/>
          <w:szCs w:val="32"/>
          <w:u w:val="none"/>
        </w:rPr>
        <w:t>六、一般公共预算基本支出预算情况说明</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285.157848</w:t>
      </w:r>
      <w:r>
        <w:rPr>
          <w:rFonts w:hint="eastAsia" w:ascii="仿宋_GB2312" w:hAnsi="楷体" w:eastAsia="仿宋_GB2312"/>
          <w:kern w:val="0"/>
          <w:sz w:val="32"/>
          <w:szCs w:val="32"/>
          <w:u w:val="none"/>
        </w:rPr>
        <w:t>万元，其中：</w:t>
      </w:r>
    </w:p>
    <w:p>
      <w:pPr>
        <w:keepNext w:val="0"/>
        <w:keepLines w:val="0"/>
        <w:pageBreakBefore w:val="0"/>
        <w:widowControl/>
        <w:kinsoku/>
        <w:wordWrap/>
        <w:overflowPunct/>
        <w:topLinePunct w:val="0"/>
        <w:bidi w:val="0"/>
        <w:snapToGrid/>
        <w:spacing w:line="600" w:lineRule="exact"/>
        <w:ind w:firstLine="640"/>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261.867848</w:t>
      </w:r>
      <w:r>
        <w:rPr>
          <w:rFonts w:hint="eastAsia" w:ascii="仿宋_GB2312" w:hAnsi="楷体" w:eastAsia="仿宋_GB2312"/>
          <w:kern w:val="0"/>
          <w:sz w:val="32"/>
          <w:szCs w:val="32"/>
          <w:u w:val="none"/>
        </w:rPr>
        <w:t>万元。主要包括：基本工资、津贴补贴、奖金、社会保障缴费、伙食补助费、绩效工资、其他工资福利支出、离休费、退休费、抚恤金、生活补助、医疗费、奖励金、住房公积金、提租补贴、其他对个人和家庭的补助支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23.29</w:t>
      </w:r>
      <w:r>
        <w:rPr>
          <w:rFonts w:hint="eastAsia" w:ascii="仿宋_GB2312" w:hAnsi="楷体" w:eastAsia="仿宋_GB2312"/>
          <w:kern w:val="0"/>
          <w:sz w:val="32"/>
          <w:szCs w:val="32"/>
          <w:u w:val="none"/>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keepNext w:val="0"/>
        <w:keepLines w:val="0"/>
        <w:pageBreakBefore w:val="0"/>
        <w:kinsoku/>
        <w:wordWrap/>
        <w:overflowPunct/>
        <w:topLinePunct w:val="0"/>
        <w:autoSpaceDE w:val="0"/>
        <w:autoSpaceDN w:val="0"/>
        <w:bidi w:val="0"/>
        <w:adjustRightInd w:val="0"/>
        <w:snapToGrid/>
        <w:spacing w:line="600" w:lineRule="exact"/>
        <w:ind w:firstLine="482" w:firstLineChars="150"/>
        <w:jc w:val="left"/>
        <w:textAlignment w:val="auto"/>
        <w:rPr>
          <w:rFonts w:ascii="仿宋_GB2312" w:hAnsi="楷体" w:eastAsia="仿宋_GB2312"/>
          <w:b/>
          <w:bCs/>
          <w:kern w:val="0"/>
          <w:sz w:val="32"/>
          <w:szCs w:val="32"/>
          <w:u w:val="none"/>
        </w:rPr>
      </w:pPr>
      <w:r>
        <w:rPr>
          <w:rFonts w:hint="eastAsia" w:ascii="仿宋_GB2312" w:hAnsi="楷体" w:eastAsia="仿宋_GB2312"/>
          <w:b/>
          <w:bCs/>
          <w:kern w:val="0"/>
          <w:sz w:val="32"/>
          <w:szCs w:val="32"/>
          <w:u w:val="none"/>
        </w:rPr>
        <w:t>七、政府性基金预算支出预算情况说明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550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550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按照市委组织部年初工作要点要求，建立一个县级党群服务中心</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b/>
          <w:bCs/>
          <w:kern w:val="0"/>
          <w:sz w:val="32"/>
          <w:szCs w:val="32"/>
          <w:u w:val="none"/>
        </w:rPr>
      </w:pPr>
      <w:r>
        <w:rPr>
          <w:rFonts w:hint="eastAsia" w:ascii="仿宋_GB2312" w:hAnsi="楷体" w:eastAsia="仿宋_GB2312"/>
          <w:b/>
          <w:bCs/>
          <w:kern w:val="0"/>
          <w:sz w:val="32"/>
          <w:szCs w:val="32"/>
          <w:u w:val="none"/>
        </w:rPr>
        <w:t>八、一般公共预算“三公”经费、会议费、培训费支出预算情况说明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万元。其中：</w:t>
      </w:r>
    </w:p>
    <w:p>
      <w:pPr>
        <w:keepNext w:val="0"/>
        <w:keepLines w:val="0"/>
        <w:pageBreakBefore w:val="0"/>
        <w:kinsoku/>
        <w:wordWrap/>
        <w:overflowPunct/>
        <w:topLinePunct w:val="0"/>
        <w:autoSpaceDE w:val="0"/>
        <w:autoSpaceDN w:val="0"/>
        <w:bidi w:val="0"/>
        <w:adjustRightInd w:val="0"/>
        <w:snapToGrid/>
        <w:spacing w:line="600" w:lineRule="exact"/>
        <w:ind w:firstLine="480" w:firstLineChars="15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480" w:firstLineChars="150"/>
        <w:jc w:val="left"/>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800" w:firstLineChars="25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中共襄汾县委组织部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rPr>
          <w:rFonts w:hint="eastAsia" w:ascii="黑体" w:hAnsi="Times New Roman" w:eastAsia="黑体" w:cs="FZHTK--GBK1-0"/>
          <w:b/>
          <w:bCs/>
          <w:kern w:val="0"/>
          <w:sz w:val="32"/>
          <w:szCs w:val="32"/>
          <w:u w:val="none"/>
        </w:rPr>
      </w:pPr>
      <w:r>
        <w:rPr>
          <w:rFonts w:hint="eastAsia" w:ascii="仿宋_GB2312" w:hAnsi="楷体" w:eastAsia="仿宋_GB2312"/>
          <w:b/>
          <w:bCs/>
          <w:kern w:val="0"/>
          <w:sz w:val="32"/>
          <w:szCs w:val="32"/>
          <w:u w:val="none"/>
        </w:rPr>
        <w:t>九、一般公共预算机关运行经费支出预算情况说明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800" w:firstLineChars="250"/>
        <w:jc w:val="left"/>
        <w:textAlignment w:val="auto"/>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23.29</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0.21</w:t>
      </w:r>
      <w:r>
        <w:rPr>
          <w:rFonts w:hint="eastAsia" w:ascii="仿宋_GB2312" w:hAnsi="楷体" w:eastAsia="仿宋_GB2312"/>
          <w:kern w:val="0"/>
          <w:sz w:val="32"/>
          <w:szCs w:val="32"/>
          <w:u w:val="none"/>
        </w:rPr>
        <w:t>万元，降低</w:t>
      </w:r>
      <w:r>
        <w:rPr>
          <w:rFonts w:hint="eastAsia" w:ascii="仿宋_GB2312" w:hAnsi="楷体" w:eastAsia="仿宋_GB2312"/>
          <w:kern w:val="0"/>
          <w:sz w:val="32"/>
          <w:szCs w:val="32"/>
          <w:u w:val="none"/>
          <w:lang w:val="en-US" w:eastAsia="zh-CN"/>
        </w:rPr>
        <w:t>0.089</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一方面精简办公费，另一方面人员变动</w:t>
      </w:r>
      <w:r>
        <w:rPr>
          <w:rFonts w:hint="eastAsia" w:ascii="仿宋_GB2312" w:hAnsi="楷体" w:eastAsia="仿宋_GB2312"/>
          <w:kern w:val="0"/>
          <w:sz w:val="32"/>
          <w:szCs w:val="32"/>
          <w:u w:val="none"/>
        </w:rPr>
        <w:t>。</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b/>
          <w:bCs/>
          <w:kern w:val="0"/>
          <w:sz w:val="32"/>
          <w:szCs w:val="32"/>
          <w:u w:val="none"/>
        </w:rPr>
      </w:pPr>
      <w:r>
        <w:rPr>
          <w:rFonts w:hint="eastAsia" w:ascii="仿宋_GB2312" w:hAnsi="楷体" w:eastAsia="仿宋_GB2312"/>
          <w:b/>
          <w:bCs/>
          <w:kern w:val="0"/>
          <w:sz w:val="32"/>
          <w:szCs w:val="32"/>
          <w:u w:val="none"/>
        </w:rPr>
        <w:t>十、政府采购支出预算情况说明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楷体" w:eastAsia="仿宋_GB2312"/>
          <w:kern w:val="0"/>
          <w:sz w:val="32"/>
          <w:szCs w:val="32"/>
          <w:u w:val="none"/>
        </w:rPr>
      </w:pPr>
      <w:r>
        <w:rPr>
          <w:rFonts w:hint="eastAsia" w:ascii="黑体" w:hAnsi="黑体" w:eastAsia="黑体"/>
          <w:sz w:val="32"/>
          <w:szCs w:val="32"/>
          <w:u w:val="none"/>
        </w:rPr>
        <w:t>本部门没有政府采购情况。</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b/>
          <w:bCs/>
          <w:kern w:val="0"/>
          <w:sz w:val="32"/>
          <w:szCs w:val="32"/>
          <w:u w:val="none"/>
        </w:rPr>
      </w:pPr>
      <w:r>
        <w:rPr>
          <w:rFonts w:hint="eastAsia" w:ascii="仿宋_GB2312" w:hAnsi="楷体" w:eastAsia="仿宋_GB2312"/>
          <w:b/>
          <w:bCs/>
          <w:kern w:val="0"/>
          <w:sz w:val="32"/>
          <w:szCs w:val="32"/>
          <w:u w:val="none"/>
        </w:rPr>
        <w:t>十一、国有资产占用情况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keepNext w:val="0"/>
        <w:keepLines w:val="0"/>
        <w:pageBreakBefore w:val="0"/>
        <w:widowControl/>
        <w:kinsoku/>
        <w:wordWrap/>
        <w:overflowPunct/>
        <w:topLinePunct w:val="0"/>
        <w:bidi w:val="0"/>
        <w:snapToGrid/>
        <w:spacing w:line="600" w:lineRule="exact"/>
        <w:ind w:firstLine="640"/>
        <w:textAlignment w:val="auto"/>
        <w:rPr>
          <w:rFonts w:hint="eastAsia" w:ascii="仿宋_GB2312" w:hAnsi="楷体" w:eastAsia="仿宋_GB2312"/>
          <w:b/>
          <w:bCs/>
          <w:kern w:val="0"/>
          <w:sz w:val="32"/>
          <w:szCs w:val="32"/>
          <w:u w:val="none"/>
        </w:rPr>
      </w:pPr>
      <w:r>
        <w:rPr>
          <w:rFonts w:hint="eastAsia" w:ascii="仿宋_GB2312" w:hAnsi="楷体" w:eastAsia="仿宋_GB2312"/>
          <w:b/>
          <w:bCs/>
          <w:kern w:val="0"/>
          <w:sz w:val="32"/>
          <w:szCs w:val="32"/>
          <w:u w:val="none"/>
        </w:rPr>
        <w:t>十二、预算绩效目标设置情况说明</w:t>
      </w:r>
    </w:p>
    <w:p>
      <w:pPr>
        <w:keepNext w:val="0"/>
        <w:keepLines w:val="0"/>
        <w:pageBreakBefore w:val="0"/>
        <w:kinsoku/>
        <w:wordWrap/>
        <w:overflowPunct/>
        <w:topLinePunct w:val="0"/>
        <w:autoSpaceDE w:val="0"/>
        <w:autoSpaceDN w:val="0"/>
        <w:bidi w:val="0"/>
        <w:adjustRightInd w:val="0"/>
        <w:snapToGrid/>
        <w:spacing w:line="600" w:lineRule="exact"/>
        <w:ind w:firstLine="800" w:firstLineChars="250"/>
        <w:jc w:val="left"/>
        <w:textAlignment w:val="auto"/>
        <w:rPr>
          <w:rFonts w:hint="eastAsia" w:ascii="黑体" w:hAnsi="Times New Roman" w:eastAsia="黑体"/>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164.28</w:t>
      </w:r>
      <w:r>
        <w:rPr>
          <w:rFonts w:hint="eastAsia" w:ascii="仿宋_GB2312" w:hAnsi="楷体" w:eastAsia="仿宋_GB2312"/>
          <w:kern w:val="0"/>
          <w:sz w:val="32"/>
          <w:szCs w:val="32"/>
          <w:u w:val="none"/>
        </w:rPr>
        <w:t>万元；本部门单位整体支出纳入绩效目标管理，涉及财政性资金</w:t>
      </w:r>
      <w:r>
        <w:rPr>
          <w:rFonts w:hint="eastAsia" w:ascii="仿宋_GB2312" w:hAnsi="楷体" w:eastAsia="仿宋_GB2312"/>
          <w:kern w:val="0"/>
          <w:sz w:val="32"/>
          <w:szCs w:val="32"/>
          <w:u w:val="none"/>
          <w:lang w:val="en-US" w:eastAsia="zh-CN"/>
        </w:rPr>
        <w:t>765.135</w:t>
      </w:r>
      <w:r>
        <w:rPr>
          <w:rFonts w:hint="eastAsia" w:ascii="仿宋_GB2312" w:hAnsi="楷体" w:eastAsia="仿宋_GB2312"/>
          <w:kern w:val="0"/>
          <w:sz w:val="32"/>
          <w:szCs w:val="32"/>
          <w:u w:val="none"/>
        </w:rPr>
        <w:t>万元。</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黑体" w:hAnsi="Times New Roman" w:eastAsia="黑体"/>
          <w:kern w:val="0"/>
          <w:sz w:val="32"/>
          <w:szCs w:val="32"/>
          <w:u w:val="none"/>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keepNext w:val="0"/>
        <w:keepLines w:val="0"/>
        <w:pageBreakBefore w:val="0"/>
        <w:widowControl/>
        <w:kinsoku/>
        <w:wordWrap/>
        <w:overflowPunct/>
        <w:topLinePunct w:val="0"/>
        <w:autoSpaceDE/>
        <w:autoSpaceDN/>
        <w:bidi w:val="0"/>
        <w:adjustRightIn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keepNext w:val="0"/>
        <w:keepLines w:val="0"/>
        <w:pageBreakBefore w:val="0"/>
        <w:widowControl/>
        <w:kinsoku/>
        <w:wordWrap/>
        <w:overflowPunct/>
        <w:topLinePunct w:val="0"/>
        <w:autoSpaceDE/>
        <w:autoSpaceDN/>
        <w:bidi w:val="0"/>
        <w:adjustRightIn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keepNext w:val="0"/>
        <w:keepLines w:val="0"/>
        <w:pageBreakBefore w:val="0"/>
        <w:widowControl/>
        <w:kinsoku/>
        <w:wordWrap/>
        <w:overflowPunct/>
        <w:topLinePunct w:val="0"/>
        <w:autoSpaceDE/>
        <w:autoSpaceDN/>
        <w:bidi w:val="0"/>
        <w:adjustRightIn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keepNext w:val="0"/>
        <w:keepLines w:val="0"/>
        <w:pageBreakBefore w:val="0"/>
        <w:widowControl/>
        <w:kinsoku/>
        <w:wordWrap/>
        <w:overflowPunct/>
        <w:topLinePunct w:val="0"/>
        <w:autoSpaceDE/>
        <w:autoSpaceDN/>
        <w:bidi w:val="0"/>
        <w:adjustRightIn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keepNext w:val="0"/>
        <w:keepLines w:val="0"/>
        <w:pageBreakBefore w:val="0"/>
        <w:widowControl/>
        <w:kinsoku/>
        <w:wordWrap/>
        <w:overflowPunct/>
        <w:topLinePunct w:val="0"/>
        <w:autoSpaceDE/>
        <w:autoSpaceDN/>
        <w:bidi w:val="0"/>
        <w:adjustRightIn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keepNext w:val="0"/>
        <w:keepLines w:val="0"/>
        <w:pageBreakBefore w:val="0"/>
        <w:widowControl/>
        <w:kinsoku/>
        <w:wordWrap/>
        <w:overflowPunct/>
        <w:topLinePunct w:val="0"/>
        <w:autoSpaceDE/>
        <w:autoSpaceDN/>
        <w:bidi w:val="0"/>
        <w:adjustRightInd/>
        <w:spacing w:line="600" w:lineRule="exact"/>
        <w:ind w:firstLine="636"/>
        <w:textAlignment w:val="auto"/>
        <w:rPr>
          <w:rFonts w:ascii="仿宋_GB2312" w:hAnsi="仿宋" w:eastAsia="仿宋_GB2312"/>
          <w:kern w:val="0"/>
          <w:sz w:val="32"/>
          <w:szCs w:val="32"/>
          <w:u w:val="none"/>
        </w:rPr>
      </w:pPr>
      <w:r>
        <w:rPr>
          <w:rFonts w:hint="eastAsia" w:ascii="仿宋_GB2312" w:hAnsi="仿宋" w:eastAsia="仿宋_GB2312"/>
          <w:kern w:val="0"/>
          <w:sz w:val="32"/>
          <w:szCs w:val="32"/>
          <w:u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614E6"/>
    <w:rsid w:val="01B7117D"/>
    <w:rsid w:val="01E2763B"/>
    <w:rsid w:val="02007166"/>
    <w:rsid w:val="02302B49"/>
    <w:rsid w:val="02496741"/>
    <w:rsid w:val="02521615"/>
    <w:rsid w:val="02F71C94"/>
    <w:rsid w:val="02F759C1"/>
    <w:rsid w:val="042A46B1"/>
    <w:rsid w:val="047252B7"/>
    <w:rsid w:val="04CE20A9"/>
    <w:rsid w:val="051244EE"/>
    <w:rsid w:val="0595462A"/>
    <w:rsid w:val="05E51BD6"/>
    <w:rsid w:val="061D4C71"/>
    <w:rsid w:val="068F085F"/>
    <w:rsid w:val="06C82279"/>
    <w:rsid w:val="07B9715D"/>
    <w:rsid w:val="07CA3648"/>
    <w:rsid w:val="07CF0C11"/>
    <w:rsid w:val="08A21E54"/>
    <w:rsid w:val="09ED16A4"/>
    <w:rsid w:val="0A395A2B"/>
    <w:rsid w:val="0A781506"/>
    <w:rsid w:val="0A831A07"/>
    <w:rsid w:val="0B7A268C"/>
    <w:rsid w:val="0C2E6EBB"/>
    <w:rsid w:val="0C550EC0"/>
    <w:rsid w:val="0CCF3382"/>
    <w:rsid w:val="0D015B86"/>
    <w:rsid w:val="0E411B8E"/>
    <w:rsid w:val="0ECF36D9"/>
    <w:rsid w:val="0ED427DA"/>
    <w:rsid w:val="0FAC09AE"/>
    <w:rsid w:val="10675503"/>
    <w:rsid w:val="106E3A01"/>
    <w:rsid w:val="1095648A"/>
    <w:rsid w:val="10F95EB1"/>
    <w:rsid w:val="11910BD1"/>
    <w:rsid w:val="128F75D2"/>
    <w:rsid w:val="12AC5325"/>
    <w:rsid w:val="12D71EE8"/>
    <w:rsid w:val="13D31AA5"/>
    <w:rsid w:val="144809F2"/>
    <w:rsid w:val="14897DBA"/>
    <w:rsid w:val="151A2521"/>
    <w:rsid w:val="15E41DDF"/>
    <w:rsid w:val="16027FF2"/>
    <w:rsid w:val="16407400"/>
    <w:rsid w:val="164D2B9A"/>
    <w:rsid w:val="164D2E81"/>
    <w:rsid w:val="1666212C"/>
    <w:rsid w:val="16A97B7B"/>
    <w:rsid w:val="16B00739"/>
    <w:rsid w:val="17A809B3"/>
    <w:rsid w:val="18692FEC"/>
    <w:rsid w:val="18861177"/>
    <w:rsid w:val="189004E1"/>
    <w:rsid w:val="191B75FA"/>
    <w:rsid w:val="197D62AC"/>
    <w:rsid w:val="199B07EC"/>
    <w:rsid w:val="19B3058F"/>
    <w:rsid w:val="19CE7BD6"/>
    <w:rsid w:val="19D410BE"/>
    <w:rsid w:val="19EF64A7"/>
    <w:rsid w:val="1A46502B"/>
    <w:rsid w:val="1ACA7F1C"/>
    <w:rsid w:val="1AEA4822"/>
    <w:rsid w:val="1B035E7A"/>
    <w:rsid w:val="1CFC2C12"/>
    <w:rsid w:val="1D325CA3"/>
    <w:rsid w:val="1D605229"/>
    <w:rsid w:val="1DBF43F1"/>
    <w:rsid w:val="1E207647"/>
    <w:rsid w:val="1E46404A"/>
    <w:rsid w:val="1E555A81"/>
    <w:rsid w:val="1E8B07BA"/>
    <w:rsid w:val="1F167368"/>
    <w:rsid w:val="1FD5315A"/>
    <w:rsid w:val="1FFE7BD7"/>
    <w:rsid w:val="20154AC9"/>
    <w:rsid w:val="20953A56"/>
    <w:rsid w:val="20B465EE"/>
    <w:rsid w:val="20BC35D1"/>
    <w:rsid w:val="22037B55"/>
    <w:rsid w:val="222C130B"/>
    <w:rsid w:val="22461B1D"/>
    <w:rsid w:val="229A0D7C"/>
    <w:rsid w:val="22DF6CA5"/>
    <w:rsid w:val="22FA56E8"/>
    <w:rsid w:val="23613E3F"/>
    <w:rsid w:val="23A55786"/>
    <w:rsid w:val="23A907FC"/>
    <w:rsid w:val="23C10D48"/>
    <w:rsid w:val="23D52ACB"/>
    <w:rsid w:val="23F2500F"/>
    <w:rsid w:val="24D33A48"/>
    <w:rsid w:val="25D2439E"/>
    <w:rsid w:val="26267710"/>
    <w:rsid w:val="26D73A12"/>
    <w:rsid w:val="26D867DF"/>
    <w:rsid w:val="275561AD"/>
    <w:rsid w:val="275B5730"/>
    <w:rsid w:val="28B179A0"/>
    <w:rsid w:val="28C82F6D"/>
    <w:rsid w:val="28DC6F5D"/>
    <w:rsid w:val="297F60F4"/>
    <w:rsid w:val="29C54245"/>
    <w:rsid w:val="29CE1C10"/>
    <w:rsid w:val="29E745D6"/>
    <w:rsid w:val="2A0C4B1E"/>
    <w:rsid w:val="2A997794"/>
    <w:rsid w:val="2AA35814"/>
    <w:rsid w:val="2AA80908"/>
    <w:rsid w:val="2B4A170A"/>
    <w:rsid w:val="2C1C3D5D"/>
    <w:rsid w:val="2C292926"/>
    <w:rsid w:val="2C54264F"/>
    <w:rsid w:val="2C5A6F5E"/>
    <w:rsid w:val="2CFD6976"/>
    <w:rsid w:val="2D282446"/>
    <w:rsid w:val="2DFF008B"/>
    <w:rsid w:val="2E08317D"/>
    <w:rsid w:val="2E395309"/>
    <w:rsid w:val="2E4538B8"/>
    <w:rsid w:val="2F3223AA"/>
    <w:rsid w:val="2F871F61"/>
    <w:rsid w:val="2F9435B6"/>
    <w:rsid w:val="30223206"/>
    <w:rsid w:val="30B46CA3"/>
    <w:rsid w:val="314A371A"/>
    <w:rsid w:val="31504768"/>
    <w:rsid w:val="316856A6"/>
    <w:rsid w:val="317F6FC2"/>
    <w:rsid w:val="31CA3EE9"/>
    <w:rsid w:val="32103D80"/>
    <w:rsid w:val="32673A99"/>
    <w:rsid w:val="32CE2438"/>
    <w:rsid w:val="32D76E27"/>
    <w:rsid w:val="32F37A5E"/>
    <w:rsid w:val="330E377A"/>
    <w:rsid w:val="34732E94"/>
    <w:rsid w:val="34C942F5"/>
    <w:rsid w:val="34DE6D61"/>
    <w:rsid w:val="351E3612"/>
    <w:rsid w:val="35780C7F"/>
    <w:rsid w:val="360819A2"/>
    <w:rsid w:val="36445EF2"/>
    <w:rsid w:val="367D16EA"/>
    <w:rsid w:val="36951834"/>
    <w:rsid w:val="36D55DA2"/>
    <w:rsid w:val="373B78F2"/>
    <w:rsid w:val="3749258F"/>
    <w:rsid w:val="38A802A6"/>
    <w:rsid w:val="38F943A3"/>
    <w:rsid w:val="390B6616"/>
    <w:rsid w:val="393F771D"/>
    <w:rsid w:val="395C094E"/>
    <w:rsid w:val="397841A2"/>
    <w:rsid w:val="39A2080F"/>
    <w:rsid w:val="39B865D7"/>
    <w:rsid w:val="39C35268"/>
    <w:rsid w:val="39FC315C"/>
    <w:rsid w:val="39FD2297"/>
    <w:rsid w:val="3A963F4A"/>
    <w:rsid w:val="3ABA5314"/>
    <w:rsid w:val="3AF07A8D"/>
    <w:rsid w:val="3B0872A5"/>
    <w:rsid w:val="3C9A09D4"/>
    <w:rsid w:val="3D036264"/>
    <w:rsid w:val="3D11386C"/>
    <w:rsid w:val="3D6345D6"/>
    <w:rsid w:val="3DA10EBE"/>
    <w:rsid w:val="3DFD0CFD"/>
    <w:rsid w:val="3E2C74D3"/>
    <w:rsid w:val="3ED37DDA"/>
    <w:rsid w:val="3F0D5E27"/>
    <w:rsid w:val="3F510BAC"/>
    <w:rsid w:val="3F5B1A54"/>
    <w:rsid w:val="3FF763B7"/>
    <w:rsid w:val="4010633E"/>
    <w:rsid w:val="4040073B"/>
    <w:rsid w:val="406929B7"/>
    <w:rsid w:val="409B4E46"/>
    <w:rsid w:val="40E043CB"/>
    <w:rsid w:val="40E45436"/>
    <w:rsid w:val="40FA3858"/>
    <w:rsid w:val="41056D43"/>
    <w:rsid w:val="413855EC"/>
    <w:rsid w:val="41D04DFA"/>
    <w:rsid w:val="41F73716"/>
    <w:rsid w:val="42314B4F"/>
    <w:rsid w:val="42321896"/>
    <w:rsid w:val="42932653"/>
    <w:rsid w:val="42A87774"/>
    <w:rsid w:val="42C64814"/>
    <w:rsid w:val="436B0382"/>
    <w:rsid w:val="4378549E"/>
    <w:rsid w:val="44B8486B"/>
    <w:rsid w:val="45047640"/>
    <w:rsid w:val="452500AD"/>
    <w:rsid w:val="457C07BD"/>
    <w:rsid w:val="458D50E5"/>
    <w:rsid w:val="45C547D9"/>
    <w:rsid w:val="45F058A7"/>
    <w:rsid w:val="46463CE7"/>
    <w:rsid w:val="467F44EF"/>
    <w:rsid w:val="46D03D5A"/>
    <w:rsid w:val="46ED7A59"/>
    <w:rsid w:val="479F479F"/>
    <w:rsid w:val="47EE3BCE"/>
    <w:rsid w:val="48882984"/>
    <w:rsid w:val="489A5FBD"/>
    <w:rsid w:val="48A7684D"/>
    <w:rsid w:val="49096E0F"/>
    <w:rsid w:val="490F5B7A"/>
    <w:rsid w:val="49BE2C4D"/>
    <w:rsid w:val="49FF0CFB"/>
    <w:rsid w:val="4AAC3147"/>
    <w:rsid w:val="4AD43874"/>
    <w:rsid w:val="4ADA16E7"/>
    <w:rsid w:val="4B227EE4"/>
    <w:rsid w:val="4B517DBB"/>
    <w:rsid w:val="4BEC58E9"/>
    <w:rsid w:val="4BF3571C"/>
    <w:rsid w:val="4C1757CE"/>
    <w:rsid w:val="4CCC2331"/>
    <w:rsid w:val="4D6954BF"/>
    <w:rsid w:val="4E6339D5"/>
    <w:rsid w:val="4F5B1931"/>
    <w:rsid w:val="4F9E0BA1"/>
    <w:rsid w:val="507A7CA5"/>
    <w:rsid w:val="50977C85"/>
    <w:rsid w:val="50BC7B39"/>
    <w:rsid w:val="51C318EF"/>
    <w:rsid w:val="51C94EC4"/>
    <w:rsid w:val="524A3A86"/>
    <w:rsid w:val="527C3191"/>
    <w:rsid w:val="532730B0"/>
    <w:rsid w:val="537B0165"/>
    <w:rsid w:val="53DD6BA8"/>
    <w:rsid w:val="53F21A3F"/>
    <w:rsid w:val="53FB76FA"/>
    <w:rsid w:val="540E717B"/>
    <w:rsid w:val="541B030B"/>
    <w:rsid w:val="54684573"/>
    <w:rsid w:val="55393EFF"/>
    <w:rsid w:val="55B2288E"/>
    <w:rsid w:val="55CB4852"/>
    <w:rsid w:val="55DC618C"/>
    <w:rsid w:val="569C0D57"/>
    <w:rsid w:val="56F73611"/>
    <w:rsid w:val="579E20B3"/>
    <w:rsid w:val="58430EF3"/>
    <w:rsid w:val="58AA41B4"/>
    <w:rsid w:val="591246D1"/>
    <w:rsid w:val="59AC6411"/>
    <w:rsid w:val="5A116DEA"/>
    <w:rsid w:val="5A22632C"/>
    <w:rsid w:val="5A4E08A0"/>
    <w:rsid w:val="5AB04B75"/>
    <w:rsid w:val="5B494D63"/>
    <w:rsid w:val="5B9F36DE"/>
    <w:rsid w:val="5CA16867"/>
    <w:rsid w:val="5D15689C"/>
    <w:rsid w:val="5D2B40A9"/>
    <w:rsid w:val="5F074BD6"/>
    <w:rsid w:val="5F4C57DE"/>
    <w:rsid w:val="5F767359"/>
    <w:rsid w:val="5FA40E1A"/>
    <w:rsid w:val="5FAE6B95"/>
    <w:rsid w:val="605E4642"/>
    <w:rsid w:val="60AD072C"/>
    <w:rsid w:val="61A97E4C"/>
    <w:rsid w:val="62680D4E"/>
    <w:rsid w:val="634F1E2B"/>
    <w:rsid w:val="636B0323"/>
    <w:rsid w:val="63804CC1"/>
    <w:rsid w:val="63845BDC"/>
    <w:rsid w:val="639A19DC"/>
    <w:rsid w:val="63CA0901"/>
    <w:rsid w:val="63DC3A6F"/>
    <w:rsid w:val="64535518"/>
    <w:rsid w:val="64A47E04"/>
    <w:rsid w:val="64AE406A"/>
    <w:rsid w:val="64E61465"/>
    <w:rsid w:val="65A60FF6"/>
    <w:rsid w:val="667A3C89"/>
    <w:rsid w:val="67573C0D"/>
    <w:rsid w:val="67606103"/>
    <w:rsid w:val="67E51301"/>
    <w:rsid w:val="67EB6718"/>
    <w:rsid w:val="6857612D"/>
    <w:rsid w:val="68C7713A"/>
    <w:rsid w:val="68F242AC"/>
    <w:rsid w:val="690566C4"/>
    <w:rsid w:val="69B31D58"/>
    <w:rsid w:val="6ABB4B62"/>
    <w:rsid w:val="6B6F18F8"/>
    <w:rsid w:val="6B73082E"/>
    <w:rsid w:val="6DD00F51"/>
    <w:rsid w:val="6E130B2A"/>
    <w:rsid w:val="6E5205D8"/>
    <w:rsid w:val="6EDA2E31"/>
    <w:rsid w:val="6FC77BC7"/>
    <w:rsid w:val="70B2047F"/>
    <w:rsid w:val="70C61C0B"/>
    <w:rsid w:val="70E334F7"/>
    <w:rsid w:val="71C81DC0"/>
    <w:rsid w:val="71D47169"/>
    <w:rsid w:val="720A3FB4"/>
    <w:rsid w:val="72626612"/>
    <w:rsid w:val="72C23FBE"/>
    <w:rsid w:val="72F81C9E"/>
    <w:rsid w:val="736E3BAB"/>
    <w:rsid w:val="74736F1D"/>
    <w:rsid w:val="747A1A74"/>
    <w:rsid w:val="75A56425"/>
    <w:rsid w:val="75AA520E"/>
    <w:rsid w:val="75FB4751"/>
    <w:rsid w:val="761362F3"/>
    <w:rsid w:val="765905F0"/>
    <w:rsid w:val="770B0440"/>
    <w:rsid w:val="770B495D"/>
    <w:rsid w:val="771F3CC0"/>
    <w:rsid w:val="77481BE2"/>
    <w:rsid w:val="77661F0E"/>
    <w:rsid w:val="7788437D"/>
    <w:rsid w:val="77915F20"/>
    <w:rsid w:val="77BD0800"/>
    <w:rsid w:val="78317136"/>
    <w:rsid w:val="78801057"/>
    <w:rsid w:val="79333014"/>
    <w:rsid w:val="7A0A6456"/>
    <w:rsid w:val="7A175828"/>
    <w:rsid w:val="7A82651F"/>
    <w:rsid w:val="7ADE0B82"/>
    <w:rsid w:val="7AED2B21"/>
    <w:rsid w:val="7AFB54C6"/>
    <w:rsid w:val="7B247E4F"/>
    <w:rsid w:val="7B3A5C4F"/>
    <w:rsid w:val="7B787240"/>
    <w:rsid w:val="7BB41C66"/>
    <w:rsid w:val="7C0E5CE0"/>
    <w:rsid w:val="7C605D84"/>
    <w:rsid w:val="7CB85B57"/>
    <w:rsid w:val="7CBB5016"/>
    <w:rsid w:val="7D6B144A"/>
    <w:rsid w:val="7DAF3E53"/>
    <w:rsid w:val="7DD51D8B"/>
    <w:rsid w:val="7E2E3893"/>
    <w:rsid w:val="7E6B6F8A"/>
    <w:rsid w:val="7E805D3E"/>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阿福</cp:lastModifiedBy>
  <cp:lastPrinted>2020-05-19T03:47:00Z</cp:lastPrinted>
  <dcterms:modified xsi:type="dcterms:W3CDTF">2020-05-26T07:58:29Z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