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rPr>
        <w:t>襄汾县</w:t>
      </w:r>
      <w:r>
        <w:rPr>
          <w:rFonts w:hint="eastAsia" w:ascii="宋体" w:hAnsi="宋体" w:eastAsia="宋体" w:cs="宋体"/>
          <w:b/>
          <w:bCs/>
          <w:kern w:val="0"/>
          <w:sz w:val="44"/>
          <w:szCs w:val="44"/>
          <w:lang w:val="en-US" w:eastAsia="zh-CN"/>
        </w:rPr>
        <w:t>人力资源和社会保障局</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2020年度部门预算公开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pStyle w:val="9"/>
        <w:widowControl/>
        <w:numPr>
          <w:ilvl w:val="0"/>
          <w:numId w:val="1"/>
        </w:numPr>
        <w:spacing w:line="560" w:lineRule="exact"/>
        <w:ind w:firstLineChars="0"/>
        <w:rPr>
          <w:rFonts w:ascii="仿宋_GB2312" w:hAnsi="楷体" w:eastAsia="仿宋_GB2312"/>
          <w:kern w:val="0"/>
          <w:sz w:val="32"/>
          <w:szCs w:val="32"/>
        </w:rPr>
      </w:pPr>
      <w:r>
        <w:rPr>
          <w:rFonts w:hint="eastAsia" w:ascii="仿宋_GB2312" w:hAnsi="楷体" w:eastAsia="仿宋_GB2312"/>
          <w:kern w:val="0"/>
          <w:sz w:val="32"/>
          <w:szCs w:val="32"/>
        </w:rPr>
        <w:t>本部门职责</w:t>
      </w:r>
    </w:p>
    <w:p>
      <w:pPr>
        <w:pStyle w:val="9"/>
        <w:spacing w:line="580" w:lineRule="exact"/>
        <w:ind w:firstLine="640"/>
        <w:rPr>
          <w:rFonts w:ascii="仿宋_GB2312" w:hAnsi="黑体" w:eastAsia="仿宋_GB2312" w:cs="黑体"/>
          <w:sz w:val="32"/>
          <w:szCs w:val="32"/>
        </w:rPr>
      </w:pPr>
      <w:r>
        <w:rPr>
          <w:rFonts w:hint="eastAsia" w:ascii="仿宋_GB2312" w:hAnsi="黑体" w:eastAsia="仿宋_GB2312" w:cs="黑体"/>
          <w:sz w:val="32"/>
          <w:szCs w:val="32"/>
        </w:rPr>
        <w:t>我局由原县人事局和县劳动和社会保障局合并组建，并于2010年1月27日正式成立。工作涉及就业、社会保障、人才队伍建设、人事制度改革、工资收入分配制度改革、劳动关系六大板块。</w:t>
      </w:r>
    </w:p>
    <w:p>
      <w:pPr>
        <w:widowControl/>
        <w:numPr>
          <w:ilvl w:val="0"/>
          <w:numId w:val="2"/>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spacing w:line="640" w:lineRule="exact"/>
        <w:ind w:firstLine="640" w:firstLineChars="200"/>
        <w:jc w:val="both"/>
        <w:rPr>
          <w:rFonts w:ascii="仿宋_GB2312" w:hAnsi="楷体" w:eastAsia="仿宋_GB2312" w:cs="楷体"/>
          <w:color w:val="00000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hAnsi="楷体" w:eastAsia="仿宋_GB2312" w:cs="楷体"/>
          <w:color w:val="000000"/>
          <w:sz w:val="32"/>
          <w:szCs w:val="32"/>
        </w:rPr>
        <w:t>办公室</w:t>
      </w:r>
      <w:r>
        <w:rPr>
          <w:rFonts w:hint="eastAsia" w:ascii="仿宋_GB2312" w:hAnsi="楷体" w:eastAsia="仿宋_GB2312" w:cs="楷体"/>
          <w:color w:val="000000"/>
          <w:sz w:val="32"/>
          <w:szCs w:val="32"/>
          <w:lang w:eastAsia="zh-CN"/>
        </w:rPr>
        <w:t>、</w:t>
      </w:r>
      <w:r>
        <w:rPr>
          <w:rFonts w:hint="eastAsia" w:ascii="仿宋_GB2312" w:hAnsi="楷体" w:eastAsia="仿宋_GB2312" w:cs="楷体"/>
          <w:color w:val="000000"/>
          <w:sz w:val="32"/>
          <w:szCs w:val="32"/>
        </w:rPr>
        <w:t>工资福利股 、综合管理股</w:t>
      </w:r>
      <w:r>
        <w:rPr>
          <w:rFonts w:hint="eastAsia" w:ascii="仿宋_GB2312" w:eastAsia="仿宋_GB2312"/>
          <w:color w:val="000000"/>
          <w:sz w:val="32"/>
          <w:szCs w:val="32"/>
        </w:rPr>
        <w:t>、</w:t>
      </w:r>
      <w:r>
        <w:rPr>
          <w:rFonts w:hint="eastAsia" w:ascii="仿宋_GB2312" w:hAnsi="楷体" w:eastAsia="仿宋_GB2312" w:cs="楷体"/>
          <w:color w:val="000000"/>
          <w:sz w:val="32"/>
          <w:szCs w:val="32"/>
        </w:rPr>
        <w:t>事业单位人事管理股</w:t>
      </w:r>
      <w:r>
        <w:rPr>
          <w:rFonts w:hint="eastAsia" w:ascii="仿宋_GB2312" w:hAnsi="仿宋" w:eastAsia="仿宋_GB2312"/>
          <w:color w:val="000000"/>
          <w:sz w:val="32"/>
          <w:szCs w:val="32"/>
        </w:rPr>
        <w:t>、</w:t>
      </w:r>
      <w:r>
        <w:rPr>
          <w:rFonts w:hint="eastAsia" w:ascii="仿宋_GB2312" w:hAnsi="楷体" w:eastAsia="仿宋_GB2312" w:cs="楷体"/>
          <w:color w:val="000000"/>
          <w:sz w:val="32"/>
          <w:szCs w:val="32"/>
        </w:rPr>
        <w:t>规划统计审批股</w:t>
      </w:r>
      <w:r>
        <w:rPr>
          <w:rFonts w:hint="eastAsia" w:ascii="仿宋_GB2312" w:eastAsia="仿宋_GB2312"/>
          <w:color w:val="000000"/>
          <w:sz w:val="32"/>
          <w:szCs w:val="32"/>
        </w:rPr>
        <w:t>、</w:t>
      </w:r>
      <w:r>
        <w:rPr>
          <w:rFonts w:hint="eastAsia" w:ascii="仿宋_GB2312" w:hAnsi="楷体" w:eastAsia="仿宋_GB2312" w:cs="楷体"/>
          <w:color w:val="000000"/>
          <w:sz w:val="32"/>
          <w:szCs w:val="32"/>
        </w:rPr>
        <w:t>培训就业指导股</w:t>
      </w:r>
      <w:r>
        <w:rPr>
          <w:rFonts w:hint="eastAsia" w:ascii="仿宋_GB2312" w:eastAsia="仿宋_GB2312"/>
          <w:color w:val="000000"/>
          <w:sz w:val="32"/>
          <w:szCs w:val="32"/>
        </w:rPr>
        <w:t>、</w:t>
      </w:r>
      <w:r>
        <w:rPr>
          <w:rFonts w:hint="eastAsia" w:ascii="仿宋_GB2312" w:hAnsi="楷体" w:eastAsia="仿宋_GB2312" w:cs="楷体"/>
          <w:color w:val="000000"/>
          <w:sz w:val="32"/>
          <w:szCs w:val="32"/>
        </w:rPr>
        <w:t>劳动监察仲裁股</w:t>
      </w:r>
      <w:r>
        <w:rPr>
          <w:rFonts w:hint="eastAsia" w:ascii="仿宋_GB2312" w:hAnsi="仿宋" w:eastAsia="仿宋_GB2312" w:cs="仿宋"/>
          <w:bCs/>
          <w:color w:val="000000"/>
          <w:sz w:val="32"/>
          <w:szCs w:val="32"/>
        </w:rPr>
        <w:t>、</w:t>
      </w:r>
      <w:r>
        <w:rPr>
          <w:rFonts w:hint="eastAsia" w:ascii="仿宋_GB2312" w:hAnsi="楷体" w:eastAsia="仿宋_GB2312" w:cs="楷体"/>
          <w:color w:val="000000"/>
          <w:sz w:val="32"/>
          <w:szCs w:val="32"/>
        </w:rPr>
        <w:t>信访监察室</w:t>
      </w:r>
      <w:r>
        <w:rPr>
          <w:rFonts w:hint="eastAsia" w:ascii="仿宋_GB2312" w:hAnsi="仿宋" w:eastAsia="仿宋_GB2312" w:cs="仿宋"/>
          <w:color w:val="000000"/>
          <w:sz w:val="32"/>
          <w:szCs w:val="32"/>
        </w:rPr>
        <w:t>、</w:t>
      </w:r>
      <w:r>
        <w:rPr>
          <w:rFonts w:hint="eastAsia" w:ascii="仿宋_GB2312" w:hAnsi="楷体" w:eastAsia="仿宋_GB2312" w:cs="楷体"/>
          <w:color w:val="000000"/>
          <w:sz w:val="32"/>
          <w:szCs w:val="32"/>
        </w:rPr>
        <w:t>离退休管理股</w:t>
      </w:r>
      <w:r>
        <w:rPr>
          <w:rFonts w:hint="eastAsia" w:ascii="仿宋_GB2312" w:hAnsi="仿宋" w:eastAsia="仿宋_GB2312" w:cs="仿宋"/>
          <w:bCs/>
          <w:color w:val="000000"/>
          <w:sz w:val="32"/>
          <w:szCs w:val="32"/>
        </w:rPr>
        <w:t>、</w:t>
      </w:r>
      <w:r>
        <w:rPr>
          <w:rFonts w:hint="eastAsia" w:ascii="仿宋_GB2312" w:hAnsi="楷体" w:eastAsia="仿宋_GB2312" w:cs="楷体"/>
          <w:color w:val="000000"/>
          <w:sz w:val="32"/>
          <w:szCs w:val="32"/>
        </w:rPr>
        <w:t>社会保险管理股。</w:t>
      </w:r>
      <w:r>
        <w:rPr>
          <w:rFonts w:hint="eastAsia" w:ascii="仿宋_GB2312" w:hAnsi="楷体" w:eastAsia="仿宋_GB2312"/>
          <w:kern w:val="0"/>
          <w:sz w:val="32"/>
          <w:szCs w:val="32"/>
        </w:rPr>
        <w:t>本部门下属单位包括：</w:t>
      </w:r>
      <w:r>
        <w:rPr>
          <w:rFonts w:hint="eastAsia" w:ascii="仿宋_GB2312" w:hAnsi="楷体" w:eastAsia="仿宋_GB2312" w:cs="楷体"/>
          <w:color w:val="000000"/>
          <w:sz w:val="32"/>
          <w:szCs w:val="32"/>
        </w:rPr>
        <w:t>企业养老保险管理服务中心、机关事业单位养老保险基金管理中心、城乡居民社会养老保险管理服务中心、失业保险管理服务中心、工伤保险基金管理中心、信息中心、人才交流服务中心、人事考试中心、职业技能培训中心、职业介绍服务中心、后勤服务中心、劳动人事争议仲裁院、劳动保障监察综合行政执法队、公共就业服务办公室、基金监督管理所、劳动保障所</w:t>
      </w:r>
      <w:r>
        <w:rPr>
          <w:rFonts w:hint="eastAsia" w:ascii="仿宋_GB2312" w:hAnsi="楷体" w:eastAsia="仿宋_GB2312"/>
          <w:kern w:val="0"/>
          <w:sz w:val="32"/>
          <w:szCs w:val="32"/>
        </w:rPr>
        <w:t>。</w:t>
      </w:r>
    </w:p>
    <w:p>
      <w:pPr>
        <w:spacing w:line="640" w:lineRule="exact"/>
        <w:ind w:firstLine="640" w:firstLineChars="200"/>
        <w:rPr>
          <w:rFonts w:ascii="仿宋_GB2312" w:hAnsi="楷体" w:eastAsia="仿宋_GB2312" w:cs="楷体"/>
          <w:color w:val="00000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年部门汇总预算编制范围的预算单位共计12家，具体包括：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襄汾县人力资源和社会保障局</w:t>
      </w:r>
      <w:r>
        <w:rPr>
          <w:rFonts w:hint="eastAsia" w:ascii="仿宋_GB2312" w:hAnsi="楷体" w:eastAsia="仿宋_GB2312"/>
          <w:kern w:val="0"/>
          <w:sz w:val="32"/>
          <w:szCs w:val="32"/>
        </w:rPr>
        <w:t>本级</w:t>
      </w:r>
      <w:r>
        <w:rPr>
          <w:rFonts w:hint="eastAsia" w:ascii="仿宋_GB2312" w:hAnsi="仿宋" w:eastAsia="仿宋_GB2312" w:cs="仿宋"/>
          <w:bCs/>
          <w:color w:val="000000"/>
          <w:sz w:val="32"/>
          <w:szCs w:val="32"/>
        </w:rPr>
        <w:t>、</w:t>
      </w:r>
      <w:r>
        <w:rPr>
          <w:rFonts w:hint="eastAsia" w:ascii="仿宋_GB2312" w:hAnsi="楷体" w:eastAsia="仿宋_GB2312" w:cs="楷体"/>
          <w:color w:val="000000"/>
          <w:sz w:val="32"/>
          <w:szCs w:val="32"/>
        </w:rPr>
        <w:t>企业养老保险管理服务中心、机关事业单位养老保险基金管理中心、城乡居民社会养老保险管理服务中心、失业保险管理服务中心、工伤保险基金管理中心、人才交流服务中心、职业介绍服务中心、劳动人事争议仲裁院、劳动保障监察综合行政执法队、劳动保障所、公共就业服务办公室</w:t>
      </w:r>
      <w:r>
        <w:rPr>
          <w:rFonts w:hint="eastAsia" w:ascii="仿宋_GB2312" w:hAnsi="楷体" w:eastAsia="仿宋_GB2312"/>
          <w:kern w:val="0"/>
          <w:sz w:val="32"/>
          <w:szCs w:val="32"/>
        </w:rPr>
        <w:t>。</w:t>
      </w:r>
    </w:p>
    <w:p>
      <w:pPr>
        <w:widowControl/>
        <w:spacing w:line="560" w:lineRule="exact"/>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2020年度部门预算报表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rPr>
        <w:t>十一、</w:t>
      </w:r>
      <w:r>
        <w:rPr>
          <w:rFonts w:hint="eastAsia" w:ascii="仿宋_GB2312" w:hAnsi="楷体" w:eastAsia="仿宋_GB2312"/>
          <w:kern w:val="0"/>
          <w:sz w:val="32"/>
          <w:szCs w:val="32"/>
          <w:u w:val="none"/>
          <w:lang w:val="en-US" w:eastAsia="zh-CN"/>
        </w:rPr>
        <w:t>襄汾县人力资源和社会保障局</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2020年政府购买服务预算表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楷体" w:eastAsia="仿宋_GB2312"/>
          <w:kern w:val="0"/>
          <w:sz w:val="32"/>
          <w:szCs w:val="32"/>
          <w:u w:val="none"/>
          <w:lang w:val="en-US" w:eastAsia="zh-CN"/>
        </w:rPr>
        <w:t>襄汾县人力资源和社会保障局</w:t>
      </w:r>
      <w:r>
        <w:rPr>
          <w:rFonts w:hint="eastAsia" w:ascii="仿宋_GB2312" w:hAnsi="宋体" w:eastAsia="仿宋_GB2312" w:cs="Times New Roman"/>
          <w:sz w:val="32"/>
          <w:szCs w:val="32"/>
        </w:rPr>
        <w:t>2020年项目支出绩效目标表</w:t>
      </w:r>
    </w:p>
    <w:p>
      <w:pPr>
        <w:spacing w:line="560" w:lineRule="exact"/>
        <w:rPr>
          <w:rFonts w:ascii="仿宋_GB2312" w:hAnsi="宋体" w:eastAsia="仿宋_GB2312" w:cs="Times New Roman"/>
          <w:sz w:val="32"/>
          <w:szCs w:val="32"/>
        </w:rPr>
      </w:pPr>
      <w:bookmarkStart w:id="0" w:name="_GoBack"/>
      <w:bookmarkEnd w:id="0"/>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2020年度部门预算情况说明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val="en-US" w:eastAsia="zh-CN"/>
        </w:rPr>
        <w:t>襄汾县人力资源和社会保障局</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ascii="仿宋_GB2312" w:hAnsi="楷体" w:eastAsia="仿宋_GB2312"/>
          <w:kern w:val="0"/>
          <w:sz w:val="32"/>
          <w:szCs w:val="32"/>
          <w:u w:val="single"/>
        </w:rPr>
        <w:t>75099.390676</w:t>
      </w:r>
      <w:r>
        <w:rPr>
          <w:rFonts w:hint="eastAsia" w:ascii="仿宋_GB2312" w:hAnsi="楷体" w:eastAsia="仿宋_GB2312"/>
          <w:kern w:val="0"/>
          <w:sz w:val="32"/>
          <w:szCs w:val="32"/>
        </w:rPr>
        <w:t>万元，与上年相比收、支预算总计各减少</w:t>
      </w:r>
      <w:r>
        <w:rPr>
          <w:rFonts w:ascii="仿宋_GB2312" w:hAnsi="楷体" w:eastAsia="仿宋_GB2312"/>
          <w:kern w:val="0"/>
          <w:sz w:val="32"/>
          <w:szCs w:val="32"/>
          <w:u w:val="single"/>
        </w:rPr>
        <w:t>11580.51901</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23.57</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ascii="仿宋_GB2312" w:hAnsi="楷体" w:eastAsia="仿宋_GB2312"/>
          <w:kern w:val="0"/>
          <w:sz w:val="32"/>
          <w:szCs w:val="32"/>
          <w:u w:val="single"/>
        </w:rPr>
        <w:t>37549.695338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ascii="仿宋_GB2312" w:hAnsi="楷体" w:eastAsia="仿宋_GB2312"/>
          <w:kern w:val="0"/>
          <w:sz w:val="32"/>
          <w:szCs w:val="32"/>
          <w:u w:val="single"/>
        </w:rPr>
        <w:t>37549.695338</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37549.695338</w:t>
      </w:r>
      <w:r>
        <w:rPr>
          <w:rFonts w:hint="eastAsia" w:ascii="仿宋_GB2312" w:hAnsi="楷体" w:eastAsia="仿宋_GB2312"/>
          <w:kern w:val="0"/>
          <w:sz w:val="32"/>
          <w:szCs w:val="32"/>
        </w:rPr>
        <w:t>万元，与上年相比减少</w:t>
      </w:r>
      <w:r>
        <w:rPr>
          <w:rFonts w:ascii="仿宋_GB2312" w:hAnsi="楷体" w:eastAsia="仿宋_GB2312"/>
          <w:kern w:val="0"/>
          <w:sz w:val="32"/>
          <w:szCs w:val="32"/>
          <w:u w:val="single"/>
        </w:rPr>
        <w:t>11580.51901</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23.57</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eastAsia="仿宋_GB2312"/>
          <w:kern w:val="0"/>
          <w:sz w:val="32"/>
          <w:szCs w:val="32"/>
        </w:rPr>
        <w:t>医保中心人员及资金拨往医保局</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。主要原因是本单位无政府性基金预算。</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ascii="仿宋_GB2312" w:hAnsi="楷体" w:eastAsia="仿宋_GB2312"/>
          <w:kern w:val="0"/>
          <w:sz w:val="32"/>
          <w:szCs w:val="32"/>
          <w:u w:val="single"/>
        </w:rPr>
        <w:t xml:space="preserve"> 0</w:t>
      </w:r>
      <w:r>
        <w:rPr>
          <w:rFonts w:hint="eastAsia" w:ascii="仿宋_GB2312" w:hAnsi="楷体" w:eastAsia="仿宋_GB2312"/>
          <w:kern w:val="0"/>
          <w:sz w:val="32"/>
          <w:szCs w:val="32"/>
        </w:rPr>
        <w:t>万元。与上年相比增加（减少）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。主要原因是本单位无财政专户管理资金收入预算。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。主要原因是本单位不涉及。</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。主要原因是本单位不涉及。</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u w:val="single"/>
        </w:rPr>
        <w:t>37549.695338</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万元，主要用于……。与上年相比减少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。主要原因是本单位不涉及。</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万元，主要用于本单位不涉及。与上年相比增加（减少）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万元，增长（减少）</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。主要原因是本单位不涉及。（按照“部门预算公开表</w:t>
      </w:r>
      <w:r>
        <w:rPr>
          <w:rFonts w:ascii="仿宋_GB2312" w:hAnsi="楷体" w:eastAsia="仿宋_GB2312"/>
          <w:kern w:val="0"/>
          <w:sz w:val="32"/>
          <w:szCs w:val="32"/>
        </w:rPr>
        <w:t>01</w:t>
      </w:r>
      <w:r>
        <w:rPr>
          <w:rFonts w:hint="eastAsia" w:ascii="仿宋_GB2312" w:hAnsi="楷体" w:eastAsia="仿宋_GB2312"/>
          <w:kern w:val="0"/>
          <w:sz w:val="32"/>
          <w:szCs w:val="32"/>
        </w:rPr>
        <w:t>表</w:t>
      </w:r>
      <w:r>
        <w:rPr>
          <w:rFonts w:ascii="仿宋_GB2312" w:hAnsi="楷体" w:eastAsia="仿宋_GB2312"/>
          <w:kern w:val="0"/>
          <w:sz w:val="32"/>
          <w:szCs w:val="32"/>
        </w:rPr>
        <w:t xml:space="preserve"> </w:t>
      </w:r>
      <w:r>
        <w:rPr>
          <w:rFonts w:hint="eastAsia" w:ascii="仿宋_GB2312" w:hAnsi="楷体" w:eastAsia="仿宋_GB2312"/>
          <w:kern w:val="0"/>
          <w:sz w:val="32"/>
          <w:szCs w:val="32"/>
        </w:rPr>
        <w:t>收支预算总表”中的功能分类明细项，并结合本部门具体实际予以解释。）</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rPr>
        <w:t xml:space="preserve">1535.486948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492.42048</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24.28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。主要原因是机构改革，医保中心调出。项目支出预算数为</w:t>
      </w:r>
      <w:r>
        <w:rPr>
          <w:rFonts w:hint="eastAsia" w:ascii="仿宋_GB2312" w:hAnsi="楷体" w:eastAsia="仿宋_GB2312"/>
          <w:kern w:val="0"/>
          <w:sz w:val="32"/>
          <w:szCs w:val="32"/>
          <w:u w:val="single"/>
        </w:rPr>
        <w:t>36014.208390</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11088.09853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23.54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。主要原因是机构改革，医保中心</w:t>
      </w:r>
      <w:r>
        <w:rPr>
          <w:rFonts w:hint="eastAsia" w:ascii="仿宋_GB2312" w:hAnsi="楷体" w:eastAsia="仿宋_GB2312"/>
          <w:kern w:val="0"/>
          <w:sz w:val="32"/>
          <w:szCs w:val="32"/>
          <w:lang w:val="en-US" w:eastAsia="zh-CN"/>
        </w:rPr>
        <w:t>从我单位</w:t>
      </w:r>
      <w:r>
        <w:rPr>
          <w:rFonts w:hint="eastAsia" w:ascii="仿宋_GB2312" w:hAnsi="楷体" w:eastAsia="仿宋_GB2312"/>
          <w:kern w:val="0"/>
          <w:sz w:val="32"/>
          <w:szCs w:val="32"/>
        </w:rPr>
        <w:t>调出。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襄汾县人力资源和社会保障局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37549.695338</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rPr>
        <w:t xml:space="preserve">37549.695338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rPr>
        <w:t xml:space="preserve"> 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u w:val="single"/>
          <w:lang w:eastAsia="zh-CN"/>
        </w:rPr>
      </w:pPr>
      <w:r>
        <w:rPr>
          <w:rFonts w:hint="eastAsia" w:ascii="仿宋_GB2312" w:hAnsi="楷体" w:eastAsia="仿宋_GB2312"/>
          <w:kern w:val="0"/>
          <w:sz w:val="32"/>
          <w:szCs w:val="32"/>
          <w:lang w:val="en-US" w:eastAsia="zh-CN"/>
        </w:rPr>
        <w:t>襄汾县人力资源和社会保障局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37549.695338</w:t>
      </w:r>
      <w:r>
        <w:rPr>
          <w:rFonts w:hint="eastAsia" w:ascii="仿宋_GB2312" w:hAnsi="楷体" w:eastAsia="仿宋_GB2312"/>
          <w:kern w:val="0"/>
          <w:sz w:val="32"/>
          <w:szCs w:val="32"/>
        </w:rPr>
        <w:t>万元，其中：基本支出</w:t>
      </w:r>
      <w:r>
        <w:rPr>
          <w:rFonts w:hint="eastAsia" w:ascii="仿宋_GB2312" w:hAnsi="楷体" w:eastAsia="仿宋_GB2312"/>
          <w:kern w:val="0"/>
          <w:sz w:val="32"/>
          <w:szCs w:val="32"/>
          <w:u w:val="single"/>
        </w:rPr>
        <w:t xml:space="preserve"> 1535.486948</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4</w:t>
      </w:r>
      <w:r>
        <w:rPr>
          <w:rFonts w:hint="eastAsia" w:ascii="仿宋_GB2312" w:hAnsi="楷体" w:eastAsia="仿宋_GB2312"/>
          <w:kern w:val="0"/>
          <w:sz w:val="32"/>
          <w:szCs w:val="32"/>
        </w:rPr>
        <w:t xml:space="preserve"> %；项目支出</w:t>
      </w:r>
      <w:r>
        <w:rPr>
          <w:rFonts w:hint="eastAsia" w:ascii="仿宋_GB2312" w:hAnsi="楷体" w:eastAsia="仿宋_GB2312"/>
          <w:kern w:val="0"/>
          <w:sz w:val="32"/>
          <w:szCs w:val="32"/>
          <w:u w:val="single"/>
        </w:rPr>
        <w:t>36014.20839</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96%</w:t>
      </w:r>
      <w:r>
        <w:rPr>
          <w:rFonts w:hint="eastAsia" w:ascii="仿宋_GB2312" w:hAnsi="楷体" w:eastAsia="仿宋_GB2312"/>
          <w:kern w:val="0"/>
          <w:sz w:val="32"/>
          <w:szCs w:val="32"/>
          <w:u w:val="single"/>
          <w:lang w:eastAsia="zh-CN"/>
        </w:rPr>
        <w:t>。</w:t>
      </w:r>
    </w:p>
    <w:p>
      <w:pPr>
        <w:ind w:firstLine="640" w:firstLineChars="200"/>
        <w:rPr>
          <w:rFonts w:ascii="仿宋_GB2312" w:eastAsia="仿宋_GB2312"/>
          <w:sz w:val="32"/>
          <w:szCs w:val="32"/>
        </w:rPr>
      </w:pPr>
      <w:r>
        <w:rPr>
          <w:rFonts w:hint="eastAsia" w:ascii="仿宋_GB2312" w:eastAsia="仿宋_GB2312"/>
          <w:sz w:val="32"/>
          <w:szCs w:val="32"/>
        </w:rPr>
        <w:t>四、财政拨款收支预算总体情况说明</w:t>
      </w:r>
    </w:p>
    <w:p>
      <w:pPr>
        <w:ind w:firstLine="640" w:firstLineChars="200"/>
        <w:jc w:val="both"/>
        <w:rPr>
          <w:rFonts w:ascii="仿宋_GB2312" w:eastAsia="仿宋_GB2312"/>
          <w:sz w:val="32"/>
          <w:szCs w:val="32"/>
        </w:rPr>
      </w:pPr>
      <w:r>
        <w:rPr>
          <w:rFonts w:hint="eastAsia" w:ascii="仿宋_GB2312" w:hAnsi="楷体" w:eastAsia="仿宋_GB2312"/>
          <w:kern w:val="0"/>
          <w:sz w:val="32"/>
          <w:szCs w:val="32"/>
          <w:lang w:val="en-US" w:eastAsia="zh-CN"/>
        </w:rPr>
        <w:t>襄汾县人力资源和社会保障局</w:t>
      </w:r>
      <w:r>
        <w:rPr>
          <w:rFonts w:hint="eastAsia" w:ascii="仿宋_GB2312" w:eastAsia="仿宋_GB2312"/>
          <w:sz w:val="32"/>
          <w:szCs w:val="32"/>
        </w:rPr>
        <w:t>2020年度财政拨款收、支总预算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75099.390676 </w:t>
      </w:r>
      <w:r>
        <w:rPr>
          <w:rFonts w:hint="eastAsia" w:ascii="仿宋_GB2312" w:eastAsia="仿宋_GB2312"/>
          <w:sz w:val="32"/>
          <w:szCs w:val="32"/>
        </w:rPr>
        <w:t>万元。与上年相比，财政拨款收、支总计各减少</w:t>
      </w:r>
      <w:r>
        <w:rPr>
          <w:rFonts w:hint="eastAsia" w:ascii="仿宋_GB2312" w:hAnsi="楷体" w:eastAsia="仿宋_GB2312"/>
          <w:kern w:val="0"/>
          <w:sz w:val="32"/>
          <w:szCs w:val="32"/>
          <w:u w:val="single"/>
        </w:rPr>
        <w:t>11580.51901</w:t>
      </w:r>
      <w:r>
        <w:rPr>
          <w:rFonts w:hint="eastAsia" w:ascii="仿宋_GB2312" w:eastAsia="仿宋_GB2312"/>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23.57</w:t>
      </w:r>
      <w:r>
        <w:rPr>
          <w:rFonts w:hint="eastAsia" w:ascii="仿宋_GB2312" w:eastAsia="仿宋_GB2312"/>
          <w:sz w:val="32"/>
          <w:szCs w:val="32"/>
        </w:rPr>
        <w:t xml:space="preserve"> %。主要原因是机构改革，医保中心</w:t>
      </w:r>
      <w:r>
        <w:rPr>
          <w:rFonts w:hint="eastAsia" w:ascii="仿宋_GB2312" w:eastAsia="仿宋_GB2312"/>
          <w:sz w:val="32"/>
          <w:szCs w:val="32"/>
          <w:lang w:val="en-US" w:eastAsia="zh-CN"/>
        </w:rPr>
        <w:t>从我单位</w:t>
      </w:r>
      <w:r>
        <w:rPr>
          <w:rFonts w:hint="eastAsia" w:ascii="仿宋_GB2312" w:eastAsia="仿宋_GB2312"/>
          <w:sz w:val="32"/>
          <w:szCs w:val="32"/>
        </w:rPr>
        <w:t>调出。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襄汾县人力资源和社会保障局</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37549.695338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11580.51901</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23.57</w:t>
      </w:r>
      <w:r>
        <w:rPr>
          <w:rFonts w:ascii="仿宋_GB2312" w:hAnsi="楷体" w:eastAsia="仿宋_GB2312"/>
          <w:kern w:val="0"/>
          <w:sz w:val="32"/>
          <w:szCs w:val="32"/>
        </w:rPr>
        <w:t>%</w:t>
      </w:r>
      <w:r>
        <w:rPr>
          <w:rFonts w:hint="eastAsia" w:ascii="仿宋_GB2312" w:hAnsi="楷体" w:eastAsia="仿宋_GB2312"/>
          <w:kern w:val="0"/>
          <w:sz w:val="32"/>
          <w:szCs w:val="32"/>
        </w:rPr>
        <w:t>。主要原因是机构改革，医保中心</w:t>
      </w:r>
      <w:r>
        <w:rPr>
          <w:rFonts w:hint="eastAsia" w:ascii="仿宋_GB2312" w:eastAsia="仿宋_GB2312"/>
          <w:sz w:val="32"/>
          <w:szCs w:val="32"/>
          <w:lang w:val="en-US" w:eastAsia="zh-CN"/>
        </w:rPr>
        <w:t>我单位</w:t>
      </w:r>
      <w:r>
        <w:rPr>
          <w:rFonts w:hint="eastAsia" w:ascii="仿宋_GB2312" w:hAnsi="楷体" w:eastAsia="仿宋_GB2312"/>
          <w:kern w:val="0"/>
          <w:sz w:val="32"/>
          <w:szCs w:val="32"/>
        </w:rPr>
        <w:t>调出。</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襄汾县人力资源和社会保障局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rPr>
        <w:t xml:space="preserve"> 37548.731738</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1486.816948 </w:t>
      </w:r>
      <w:r>
        <w:rPr>
          <w:rFonts w:hint="eastAsia" w:ascii="仿宋_GB2312" w:hAnsi="楷体" w:eastAsia="仿宋_GB2312"/>
          <w:kern w:val="0"/>
          <w:sz w:val="32"/>
          <w:szCs w:val="32"/>
        </w:rPr>
        <w:t>万元。主要包括：基本工资、津贴补贴、奖金、社会保障缴费、伙食补助费、绩效工资、其他工资福利支出、退休费、抚恤金、生活补助、医疗费、奖励金、住房公积金、其他对个人和家庭的补助支出。</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48.67</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both"/>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襄汾县人力资源和社会保障局</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both"/>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襄汾县人力资源和社会保障局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1.6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万元，比上年预算增加（减少）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0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1.6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1.6 </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single"/>
        </w:rPr>
        <w:t xml:space="preserve">  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万元，主要原因一辆公车，无变化。</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万元，主要原因本单位不涉及。</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襄汾县人力资源和社会保障局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万元，主要原因本单位不涉及。</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val="en-US" w:eastAsia="zh-CN"/>
        </w:rPr>
        <w:t>襄汾县人力资源和社会保障局</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万元，比上年预算增加（减少）</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万元，主要原因本单位暂未涉及。</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both"/>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ind w:firstLine="160" w:firstLineChars="50"/>
        <w:jc w:val="both"/>
        <w:rPr>
          <w:rFonts w:ascii="仿宋_GB2312" w:hAnsi="楷体" w:eastAsia="仿宋_GB2312"/>
          <w:kern w:val="0"/>
          <w:sz w:val="32"/>
          <w:szCs w:val="32"/>
        </w:rPr>
      </w:pPr>
      <w:r>
        <w:rPr>
          <w:rFonts w:hint="eastAsia" w:ascii="仿宋_GB2312" w:hAnsi="楷体" w:eastAsia="仿宋_GB2312"/>
          <w:kern w:val="0"/>
          <w:sz w:val="32"/>
          <w:szCs w:val="32"/>
          <w:u w:val="single"/>
        </w:rPr>
        <w:t xml:space="preserve"> 48.67</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7.8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13.8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both"/>
        <w:rPr>
          <w:rFonts w:ascii="仿宋_GB2312" w:hAnsi="楷体" w:eastAsia="仿宋_GB2312"/>
          <w:kern w:val="0"/>
          <w:sz w:val="32"/>
          <w:szCs w:val="32"/>
        </w:rPr>
      </w:pPr>
      <w:r>
        <w:rPr>
          <w:rFonts w:hint="eastAsia" w:ascii="仿宋_GB2312" w:hAnsi="楷体" w:eastAsia="仿宋_GB2312"/>
          <w:kern w:val="0"/>
          <w:sz w:val="32"/>
          <w:szCs w:val="32"/>
        </w:rPr>
        <w:t>主要原因是：机构改革，医保中心</w:t>
      </w:r>
      <w:r>
        <w:rPr>
          <w:rFonts w:hint="eastAsia" w:ascii="仿宋_GB2312" w:hAnsi="楷体" w:eastAsia="仿宋_GB2312"/>
          <w:kern w:val="0"/>
          <w:sz w:val="32"/>
          <w:szCs w:val="32"/>
          <w:lang w:val="en-US" w:eastAsia="zh-CN"/>
        </w:rPr>
        <w:t>从我单位</w:t>
      </w:r>
      <w:r>
        <w:rPr>
          <w:rFonts w:hint="eastAsia" w:ascii="仿宋_GB2312" w:hAnsi="楷体" w:eastAsia="仿宋_GB2312"/>
          <w:kern w:val="0"/>
          <w:sz w:val="32"/>
          <w:szCs w:val="32"/>
        </w:rPr>
        <w:t>调出。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0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万元。</w:t>
      </w:r>
      <w:r>
        <w:rPr>
          <w:rFonts w:hint="eastAsia" w:ascii="仿宋_GB2312" w:hAnsi="楷体" w:eastAsia="仿宋_GB2312"/>
          <w:kern w:val="0"/>
          <w:sz w:val="32"/>
          <w:szCs w:val="32"/>
          <w:lang w:val="en-US" w:eastAsia="zh-CN"/>
        </w:rPr>
        <w:t>我</w:t>
      </w:r>
      <w:r>
        <w:rPr>
          <w:rFonts w:hint="eastAsia" w:ascii="仿宋_GB2312" w:hAnsi="楷体" w:eastAsia="仿宋_GB2312"/>
          <w:kern w:val="0"/>
          <w:sz w:val="32"/>
          <w:szCs w:val="32"/>
        </w:rPr>
        <w:t>单位无政府采购情况。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single"/>
        </w:rPr>
        <w:t xml:space="preserve">  1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1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0 </w:t>
      </w:r>
      <w:r>
        <w:rPr>
          <w:rFonts w:hint="eastAsia" w:ascii="仿宋_GB2312" w:hAnsi="楷体" w:eastAsia="仿宋_GB2312"/>
          <w:kern w:val="0"/>
          <w:sz w:val="32"/>
          <w:szCs w:val="32"/>
        </w:rPr>
        <w:t>辆等。</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20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36014</w:t>
      </w:r>
      <w:r>
        <w:rPr>
          <w:rFonts w:hint="eastAsia" w:ascii="仿宋_GB2312" w:hAnsi="楷体" w:eastAsia="仿宋_GB2312"/>
          <w:kern w:val="0"/>
          <w:sz w:val="32"/>
          <w:szCs w:val="32"/>
          <w:u w:val="single"/>
        </w:rPr>
        <w:t>.</w:t>
      </w:r>
      <w:r>
        <w:rPr>
          <w:rFonts w:ascii="仿宋_GB2312" w:hAnsi="楷体" w:eastAsia="仿宋_GB2312"/>
          <w:kern w:val="0"/>
          <w:sz w:val="32"/>
          <w:szCs w:val="32"/>
          <w:u w:val="single"/>
        </w:rPr>
        <w:t>20839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万元；本部门单位整体支出（□纳入、□未纳入）绩效目标管理，涉及财政性资金</w:t>
      </w:r>
      <w:r>
        <w:rPr>
          <w:rFonts w:hint="eastAsia" w:ascii="仿宋_GB2312" w:hAnsi="楷体" w:eastAsia="仿宋_GB2312"/>
          <w:kern w:val="0"/>
          <w:sz w:val="32"/>
          <w:szCs w:val="32"/>
          <w:u w:val="single"/>
        </w:rPr>
        <w:t xml:space="preserve"> 36014.20839 </w:t>
      </w:r>
      <w:r>
        <w:rPr>
          <w:rFonts w:hint="eastAsia" w:ascii="仿宋_GB2312" w:hAnsi="楷体" w:eastAsia="仿宋_GB2312"/>
          <w:kern w:val="0"/>
          <w:sz w:val="32"/>
          <w:szCs w:val="32"/>
        </w:rPr>
        <w:t>万元。</w:t>
      </w:r>
    </w:p>
    <w:p>
      <w:pPr>
        <w:widowControl/>
        <w:spacing w:line="560" w:lineRule="exact"/>
        <w:ind w:firstLine="636"/>
        <w:rPr>
          <w:rFonts w:ascii="仿宋_GB2312" w:hAnsi="仿宋" w:eastAsia="仿宋_GB2312"/>
          <w:kern w:val="0"/>
          <w:sz w:val="32"/>
          <w:szCs w:val="32"/>
        </w:rPr>
      </w:pPr>
      <w:r>
        <w:rPr>
          <w:rFonts w:hint="eastAsia" w:ascii="仿宋_GB2312" w:hAnsi="楷体" w:eastAsia="仿宋_GB2312"/>
          <w:kern w:val="0"/>
          <w:sz w:val="32"/>
          <w:szCs w:val="32"/>
        </w:rPr>
        <w:t>十三、其他说明（</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9</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abstractNum w:abstractNumId="1">
    <w:nsid w:val="5C156451"/>
    <w:multiLevelType w:val="multilevel"/>
    <w:tmpl w:val="5C15645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1C3E"/>
    <w:rsid w:val="00091C90"/>
    <w:rsid w:val="000C31E6"/>
    <w:rsid w:val="00190130"/>
    <w:rsid w:val="002337FB"/>
    <w:rsid w:val="002516D0"/>
    <w:rsid w:val="002D6C0A"/>
    <w:rsid w:val="00314382"/>
    <w:rsid w:val="00384B3C"/>
    <w:rsid w:val="003A26FE"/>
    <w:rsid w:val="003E2A34"/>
    <w:rsid w:val="003E4C97"/>
    <w:rsid w:val="00440C37"/>
    <w:rsid w:val="005727B8"/>
    <w:rsid w:val="005C520F"/>
    <w:rsid w:val="005D1EAD"/>
    <w:rsid w:val="006418E7"/>
    <w:rsid w:val="006A784A"/>
    <w:rsid w:val="007555AB"/>
    <w:rsid w:val="00781D37"/>
    <w:rsid w:val="007824EB"/>
    <w:rsid w:val="00884043"/>
    <w:rsid w:val="0091007F"/>
    <w:rsid w:val="00965FFA"/>
    <w:rsid w:val="009A65B7"/>
    <w:rsid w:val="00A31BDA"/>
    <w:rsid w:val="00A77E0A"/>
    <w:rsid w:val="00AB2EDA"/>
    <w:rsid w:val="00B12E06"/>
    <w:rsid w:val="00B314C3"/>
    <w:rsid w:val="00C627E5"/>
    <w:rsid w:val="00D07F01"/>
    <w:rsid w:val="00D3042A"/>
    <w:rsid w:val="00D50BC1"/>
    <w:rsid w:val="00E27B2A"/>
    <w:rsid w:val="00E32125"/>
    <w:rsid w:val="00EA1C3E"/>
    <w:rsid w:val="00EB612D"/>
    <w:rsid w:val="00F10764"/>
    <w:rsid w:val="00F56C3B"/>
    <w:rsid w:val="00F95649"/>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BED64D9"/>
    <w:rsid w:val="1DBF43F1"/>
    <w:rsid w:val="1E46404A"/>
    <w:rsid w:val="1E543E38"/>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eastAsia="宋体" w:cs="宋体"/>
      <w:kern w:val="0"/>
      <w:sz w:val="24"/>
      <w:szCs w:val="21"/>
    </w:rPr>
  </w:style>
  <w:style w:type="character" w:styleId="7">
    <w:name w:val="page number"/>
    <w:basedOn w:val="6"/>
    <w:qFormat/>
    <w:uiPriority w:val="0"/>
  </w:style>
  <w:style w:type="paragraph" w:customStyle="1" w:styleId="8">
    <w:name w:val="Char Char Char Char Char Char Char"/>
    <w:basedOn w:val="1"/>
    <w:qFormat/>
    <w:uiPriority w:val="0"/>
    <w:rPr>
      <w:rFonts w:ascii="Times New Roman" w:hAnsi="Times New Roman"/>
      <w:szCs w:val="24"/>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689</Words>
  <Characters>3928</Characters>
  <Lines>32</Lines>
  <Paragraphs>9</Paragraphs>
  <TotalTime>1</TotalTime>
  <ScaleCrop>false</ScaleCrop>
  <LinksUpToDate>false</LinksUpToDate>
  <CharactersWithSpaces>4608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高山流水</cp:lastModifiedBy>
  <cp:lastPrinted>2020-05-19T03:47:00Z</cp:lastPrinted>
  <dcterms:modified xsi:type="dcterms:W3CDTF">2020-05-26T11:33:35Z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