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bCs/>
          <w:kern w:val="0"/>
          <w:sz w:val="44"/>
          <w:szCs w:val="44"/>
        </w:rPr>
      </w:pPr>
      <w:r>
        <w:rPr>
          <w:rFonts w:hint="eastAsia" w:ascii="宋体" w:hAnsi="宋体" w:cs="宋体"/>
          <w:b/>
          <w:bCs/>
          <w:kern w:val="0"/>
          <w:sz w:val="44"/>
          <w:szCs w:val="44"/>
        </w:rPr>
        <w:t>襄汾县商务局</w:t>
      </w:r>
      <w:r>
        <w:rPr>
          <w:rFonts w:ascii="宋体" w:hAnsi="宋体" w:cs="宋体"/>
          <w:b/>
          <w:bCs/>
          <w:kern w:val="0"/>
          <w:sz w:val="44"/>
          <w:szCs w:val="44"/>
        </w:rPr>
        <w:t>2020</w:t>
      </w:r>
      <w:r>
        <w:rPr>
          <w:rFonts w:hint="eastAsia" w:ascii="宋体" w:hAnsi="宋体" w:cs="宋体"/>
          <w:b/>
          <w:bCs/>
          <w:kern w:val="0"/>
          <w:sz w:val="44"/>
          <w:szCs w:val="44"/>
        </w:rPr>
        <w:t>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w:t>
      </w:r>
      <w:r>
        <w:rPr>
          <w:rFonts w:ascii="黑体" w:hAnsi="Times New Roman" w:eastAsia="黑体"/>
          <w:kern w:val="0"/>
          <w:sz w:val="32"/>
          <w:szCs w:val="32"/>
        </w:rPr>
        <w:t xml:space="preserve">  </w:t>
      </w:r>
      <w:r>
        <w:rPr>
          <w:rFonts w:hint="eastAsia" w:ascii="黑体" w:hAnsi="Times New Roman" w:eastAsia="黑体"/>
          <w:kern w:val="0"/>
          <w:sz w:val="32"/>
          <w:szCs w:val="32"/>
        </w:rPr>
        <w:t>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襄汾县商务局是</w:t>
      </w:r>
      <w:r>
        <w:rPr>
          <w:rFonts w:ascii="仿宋_GB2312" w:hAnsi="楷体" w:eastAsia="仿宋_GB2312"/>
          <w:kern w:val="0"/>
          <w:sz w:val="32"/>
          <w:szCs w:val="32"/>
        </w:rPr>
        <w:t>2019</w:t>
      </w:r>
      <w:r>
        <w:rPr>
          <w:rFonts w:hint="eastAsia" w:ascii="仿宋_GB2312" w:hAnsi="楷体" w:eastAsia="仿宋_GB2312"/>
          <w:kern w:val="0"/>
          <w:sz w:val="32"/>
          <w:szCs w:val="32"/>
        </w:rPr>
        <w:t>年</w:t>
      </w:r>
      <w:r>
        <w:rPr>
          <w:rFonts w:ascii="仿宋_GB2312" w:hAnsi="楷体" w:eastAsia="仿宋_GB2312"/>
          <w:kern w:val="0"/>
          <w:sz w:val="32"/>
          <w:szCs w:val="32"/>
        </w:rPr>
        <w:t>3</w:t>
      </w:r>
      <w:r>
        <w:rPr>
          <w:rFonts w:hint="eastAsia" w:ascii="仿宋_GB2312" w:hAnsi="楷体" w:eastAsia="仿宋_GB2312"/>
          <w:kern w:val="0"/>
          <w:sz w:val="32"/>
          <w:szCs w:val="32"/>
        </w:rPr>
        <w:t>月机构改革新组建政府工作机构，根据新的“三定”规定，我局除承担对内贸易、对外贸易、成品油行业管理等法定职责外，还承担着县委、县政府安排的防范化解重大风险、扫黑除恶专项斗争、安全、环保、脱贫攻坚、重污染天气预警应对等全县中心性、全局性工作</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numId w:val="0"/>
        </w:numPr>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根据部门职责分工，本部门内设机构包括办公室（综合股）、商务股（行政审批股）。本部门下属单位包括：襄汾县促进外来投资服务中心。</w:t>
      </w: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ascii="仿宋_GB2312" w:hAnsi="楷体" w:eastAsia="仿宋_GB2312"/>
          <w:kern w:val="0"/>
          <w:sz w:val="32"/>
          <w:szCs w:val="32"/>
        </w:rPr>
        <w:t>1</w:t>
      </w:r>
      <w:r>
        <w:rPr>
          <w:rFonts w:hint="eastAsia" w:ascii="仿宋_GB2312" w:hAnsi="楷体" w:eastAsia="仿宋_GB2312"/>
          <w:kern w:val="0"/>
          <w:sz w:val="32"/>
          <w:szCs w:val="32"/>
        </w:rPr>
        <w:t>家，具体包括：襄汾县促进外来投资服务中心</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w:t>
      </w:r>
      <w:r>
        <w:rPr>
          <w:rFonts w:ascii="黑体" w:hAnsi="Times New Roman" w:eastAsia="黑体"/>
          <w:kern w:val="0"/>
          <w:sz w:val="32"/>
          <w:szCs w:val="32"/>
        </w:rPr>
        <w:t xml:space="preserve">  2020</w:t>
      </w:r>
      <w:r>
        <w:rPr>
          <w:rFonts w:hint="eastAsia" w:ascii="黑体" w:hAnsi="Times New Roman" w:eastAsia="黑体"/>
          <w:kern w:val="0"/>
          <w:sz w:val="32"/>
          <w:szCs w:val="32"/>
        </w:rPr>
        <w:t>年度部门预算报表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年预算收支总表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年预算收入总表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年预算支出总表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年财政拨款预算收支总表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年一般公共预算支出预算表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年一般公共预算安排基本支出部门经济分类表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年政府性基金收入预算表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年政府性基金支出预算表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年“三公”经费预算财政拨款情况表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sz w:val="32"/>
          <w:szCs w:val="32"/>
        </w:rPr>
        <w:t>十一、襄汾县商务</w:t>
      </w:r>
      <w:r>
        <w:rPr>
          <w:rFonts w:hint="eastAsia" w:ascii="仿宋_GB2312" w:hAnsi="仿宋_GB2312" w:eastAsia="仿宋_GB2312" w:cs="仿宋_GB2312"/>
          <w:sz w:val="32"/>
          <w:szCs w:val="32"/>
        </w:rPr>
        <w:t>局</w:t>
      </w:r>
      <w:r>
        <w:rPr>
          <w:rFonts w:ascii="仿宋_GB2312" w:hAnsi="楷体" w:eastAsia="仿宋_GB2312"/>
          <w:kern w:val="0"/>
          <w:sz w:val="32"/>
          <w:szCs w:val="32"/>
        </w:rPr>
        <w:t>2020</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sz w:val="32"/>
          <w:szCs w:val="32"/>
        </w:rPr>
      </w:pPr>
      <w:r>
        <w:rPr>
          <w:rFonts w:hint="eastAsia" w:ascii="仿宋_GB2312" w:hAnsi="楷体" w:eastAsia="仿宋_GB2312"/>
          <w:kern w:val="0"/>
          <w:sz w:val="32"/>
          <w:szCs w:val="32"/>
        </w:rPr>
        <w:t>十二、</w:t>
      </w:r>
      <w:r>
        <w:rPr>
          <w:rFonts w:hint="eastAsia" w:ascii="仿宋_GB2312" w:hAnsi="宋体" w:eastAsia="仿宋_GB2312"/>
          <w:sz w:val="32"/>
          <w:szCs w:val="32"/>
        </w:rPr>
        <w:t>襄汾县商务</w:t>
      </w:r>
      <w:r>
        <w:rPr>
          <w:rFonts w:hint="eastAsia" w:ascii="仿宋_GB2312" w:hAnsi="仿宋_GB2312" w:eastAsia="仿宋_GB2312" w:cs="仿宋_GB2312"/>
          <w:sz w:val="32"/>
          <w:szCs w:val="32"/>
        </w:rPr>
        <w:t>局</w:t>
      </w:r>
      <w:r>
        <w:rPr>
          <w:rFonts w:ascii="仿宋_GB2312" w:hAnsi="宋体" w:eastAsia="仿宋_GB2312"/>
          <w:sz w:val="32"/>
          <w:szCs w:val="32"/>
        </w:rPr>
        <w:t>2020</w:t>
      </w:r>
      <w:r>
        <w:rPr>
          <w:rFonts w:hint="eastAsia" w:ascii="仿宋_GB2312" w:hAnsi="宋体" w:eastAsia="仿宋_GB2312"/>
          <w:sz w:val="32"/>
          <w:szCs w:val="32"/>
        </w:rPr>
        <w:t>年项目支出绩效目标表</w:t>
      </w:r>
    </w:p>
    <w:p>
      <w:pPr>
        <w:spacing w:line="560" w:lineRule="exact"/>
        <w:ind w:firstLine="640" w:firstLineChars="200"/>
        <w:rPr>
          <w:rFonts w:ascii="仿宋_GB2312" w:hAnsi="宋体" w:eastAsia="仿宋_GB2312"/>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w:t>
      </w:r>
      <w:r>
        <w:rPr>
          <w:rFonts w:ascii="黑体" w:hAnsi="Times New Roman" w:eastAsia="黑体"/>
          <w:kern w:val="0"/>
          <w:sz w:val="32"/>
          <w:szCs w:val="32"/>
        </w:rPr>
        <w:t xml:space="preserve">  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年度收入、支出预算总计159.078032万元，与上年相比收、支预算总计各增加45.345452万元，增长</w:t>
      </w:r>
      <w:r>
        <w:rPr>
          <w:rFonts w:ascii="仿宋_GB2312" w:hAnsi="楷体" w:eastAsia="仿宋_GB2312"/>
          <w:kern w:val="0"/>
          <w:sz w:val="32"/>
          <w:szCs w:val="32"/>
        </w:rPr>
        <w:t>39%</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（一）收入预算总计159.078032万元。包括：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．财政拨款收入预算总计159.078032万元。其中：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）一般公共预算收入预算159.078032万元，与上年相比增加45.345452万元，增长</w:t>
      </w:r>
      <w:r>
        <w:rPr>
          <w:rFonts w:hint="eastAsia" w:ascii="仿宋_GB2312" w:hAnsi="楷体" w:eastAsia="仿宋_GB2312"/>
          <w:kern w:val="0"/>
          <w:sz w:val="32"/>
          <w:szCs w:val="32"/>
          <w:lang w:val="en-US" w:eastAsia="zh-CN"/>
        </w:rPr>
        <w:t>39</w:t>
      </w:r>
      <w:r>
        <w:rPr>
          <w:rFonts w:ascii="仿宋_GB2312" w:hAnsi="楷体" w:eastAsia="仿宋_GB2312"/>
          <w:kern w:val="0"/>
          <w:sz w:val="32"/>
          <w:szCs w:val="32"/>
        </w:rPr>
        <w:t>%</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。主要原因是本单位没有政府性基金收入和支出。</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。主要原因是本单位无财政专户管理资金收入和支出。</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国有资本经营收入预算总计</w:t>
      </w:r>
      <w:r>
        <w:rPr>
          <w:rFonts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。主要原因是本单位无国有资本经营收入</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4</w:t>
      </w:r>
      <w:r>
        <w:rPr>
          <w:rFonts w:hint="eastAsia" w:ascii="仿宋_GB2312" w:hAnsi="楷体" w:eastAsia="仿宋_GB2312"/>
          <w:kern w:val="0"/>
          <w:sz w:val="32"/>
          <w:szCs w:val="32"/>
        </w:rPr>
        <w:t>．其他资金收入预算总计</w:t>
      </w:r>
      <w:r>
        <w:rPr>
          <w:rFonts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。主要原因是本单位无其他资金收入。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（二）支出预算总计159.078032万元。包括：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．一般公共服务支出132.2204万元，主要用于工资的正常发放、招商引资工作的正常开展和日常办公经费。与上年相比增加</w:t>
      </w:r>
      <w:r>
        <w:rPr>
          <w:rFonts w:ascii="仿宋_GB2312" w:hAnsi="楷体" w:eastAsia="仿宋_GB2312"/>
          <w:kern w:val="0"/>
          <w:sz w:val="32"/>
          <w:szCs w:val="32"/>
        </w:rPr>
        <w:t>41</w:t>
      </w:r>
      <w:r>
        <w:rPr>
          <w:rFonts w:hint="eastAsia" w:ascii="仿宋_GB2312" w:hAnsi="楷体" w:eastAsia="仿宋_GB2312"/>
          <w:kern w:val="0"/>
          <w:sz w:val="32"/>
          <w:szCs w:val="32"/>
        </w:rPr>
        <w:t>.3702万元，增长</w:t>
      </w:r>
      <w:r>
        <w:rPr>
          <w:rFonts w:ascii="仿宋_GB2312" w:hAnsi="楷体" w:eastAsia="仿宋_GB2312"/>
          <w:kern w:val="0"/>
          <w:sz w:val="32"/>
          <w:szCs w:val="32"/>
        </w:rPr>
        <w:t>45%</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．社会保障和就业支出14.045268万元，主要用于主要用于养老保险财政补助部分。与上年相比减少</w:t>
      </w:r>
      <w:r>
        <w:rPr>
          <w:rFonts w:hint="eastAsia" w:ascii="仿宋_GB2312" w:hAnsi="楷体" w:eastAsia="仿宋_GB2312"/>
          <w:kern w:val="0"/>
          <w:sz w:val="32"/>
          <w:szCs w:val="32"/>
          <w:u w:val="single"/>
        </w:rPr>
        <w:t>1.374684</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0.09</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减少职业年金缴费和</w:t>
      </w:r>
      <w:r>
        <w:rPr>
          <w:rFonts w:hint="eastAsia" w:ascii="仿宋_GB2312" w:hAnsi="楷体" w:eastAsia="仿宋_GB2312"/>
          <w:kern w:val="0"/>
          <w:sz w:val="32"/>
          <w:szCs w:val="32"/>
        </w:rPr>
        <w:t>养老缴费基数调整。</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卫生健康支出6.082776万元，主要用于医疗保险财政补助部分。与上年相比增加</w:t>
      </w:r>
      <w:r>
        <w:rPr>
          <w:rFonts w:hint="eastAsia" w:ascii="仿宋_GB2312" w:hAnsi="楷体" w:eastAsia="仿宋_GB2312"/>
          <w:kern w:val="0"/>
          <w:sz w:val="32"/>
          <w:szCs w:val="32"/>
          <w:u w:val="single"/>
        </w:rPr>
        <w:t>2.615052万</w:t>
      </w:r>
      <w:r>
        <w:rPr>
          <w:rFonts w:hint="eastAsia" w:ascii="仿宋_GB2312" w:hAnsi="楷体" w:eastAsia="仿宋_GB2312"/>
          <w:kern w:val="0"/>
          <w:sz w:val="32"/>
          <w:szCs w:val="32"/>
        </w:rPr>
        <w:t>元，增长</w:t>
      </w:r>
      <w:r>
        <w:rPr>
          <w:rFonts w:hint="eastAsia" w:ascii="仿宋_GB2312" w:hAnsi="楷体" w:eastAsia="仿宋_GB2312"/>
          <w:kern w:val="0"/>
          <w:sz w:val="32"/>
          <w:szCs w:val="32"/>
          <w:u w:val="single"/>
        </w:rPr>
        <w:t>75</w:t>
      </w:r>
      <w:r>
        <w:rPr>
          <w:rFonts w:ascii="仿宋_GB2312" w:hAnsi="楷体" w:eastAsia="仿宋_GB2312"/>
          <w:kern w:val="0"/>
          <w:sz w:val="32"/>
          <w:szCs w:val="32"/>
        </w:rPr>
        <w:t>%</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4.</w:t>
      </w:r>
      <w:r>
        <w:rPr>
          <w:rFonts w:hint="eastAsia" w:ascii="仿宋_GB2312" w:hAnsi="楷体" w:eastAsia="仿宋_GB2312"/>
          <w:kern w:val="0"/>
          <w:sz w:val="32"/>
          <w:szCs w:val="32"/>
        </w:rPr>
        <w:t>住房保障支出6.729588万元，主要用于住房公积金财政补助部分与上年相比增加2.734884万元，增长68</w:t>
      </w:r>
      <w:r>
        <w:rPr>
          <w:rFonts w:ascii="仿宋_GB2312" w:hAnsi="楷体" w:eastAsia="仿宋_GB2312"/>
          <w:kern w:val="0"/>
          <w:sz w:val="32"/>
          <w:szCs w:val="32"/>
        </w:rPr>
        <w:t>%</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5</w:t>
      </w:r>
      <w:r>
        <w:rPr>
          <w:rFonts w:hint="eastAsia" w:ascii="仿宋_GB2312" w:hAnsi="楷体" w:eastAsia="仿宋_GB2312"/>
          <w:kern w:val="0"/>
          <w:sz w:val="32"/>
          <w:szCs w:val="32"/>
        </w:rPr>
        <w:t>．基本支出预算数为122.958032万元。与上年相比增加41.451452万元，增长51</w:t>
      </w:r>
      <w:r>
        <w:rPr>
          <w:rFonts w:ascii="仿宋_GB2312" w:hAnsi="楷体" w:eastAsia="仿宋_GB2312"/>
          <w:kern w:val="0"/>
          <w:sz w:val="32"/>
          <w:szCs w:val="32"/>
        </w:rPr>
        <w:t>%</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年新成立单位。项目支出预算数为36</w:t>
      </w:r>
      <w:r>
        <w:rPr>
          <w:rFonts w:hint="eastAsia" w:ascii="仿宋_GB2312" w:hAnsi="楷体" w:eastAsia="仿宋_GB2312"/>
          <w:kern w:val="0"/>
          <w:sz w:val="32"/>
          <w:szCs w:val="32"/>
          <w:lang w:val="en-US" w:eastAsia="zh-CN"/>
        </w:rPr>
        <w:t>.</w:t>
      </w:r>
      <w:r>
        <w:rPr>
          <w:rFonts w:hint="eastAsia" w:ascii="仿宋_GB2312" w:hAnsi="楷体" w:eastAsia="仿宋_GB2312"/>
          <w:kern w:val="0"/>
          <w:sz w:val="32"/>
          <w:szCs w:val="32"/>
        </w:rPr>
        <w:t>12万元。与上年相比增加3.894万元，增长</w:t>
      </w:r>
      <w:r>
        <w:rPr>
          <w:rFonts w:ascii="仿宋_GB2312" w:hAnsi="楷体" w:eastAsia="仿宋_GB2312"/>
          <w:kern w:val="0"/>
          <w:sz w:val="32"/>
          <w:szCs w:val="32"/>
        </w:rPr>
        <w:t>1</w:t>
      </w:r>
      <w:r>
        <w:rPr>
          <w:rFonts w:hint="eastAsia" w:ascii="仿宋_GB2312" w:hAnsi="楷体" w:eastAsia="仿宋_GB2312"/>
          <w:kern w:val="0"/>
          <w:sz w:val="32"/>
          <w:szCs w:val="32"/>
        </w:rPr>
        <w:t>2</w:t>
      </w:r>
      <w:r>
        <w:rPr>
          <w:rFonts w:ascii="仿宋_GB2312" w:hAnsi="楷体" w:eastAsia="仿宋_GB2312"/>
          <w:kern w:val="0"/>
          <w:sz w:val="32"/>
          <w:szCs w:val="32"/>
        </w:rPr>
        <w:t>%</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年新成立单位、退役军人人数增加。</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襄汾县商务局本年收入预算合计159.078032万元，其中：一般公共预算收入159.078032万元，占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襄汾县商务局本年支出预算合计159.078032万元，其中：基本支出132.2204万元，占</w:t>
      </w:r>
      <w:r>
        <w:rPr>
          <w:rFonts w:ascii="仿宋_GB2312" w:hAnsi="楷体" w:eastAsia="仿宋_GB2312"/>
          <w:kern w:val="0"/>
          <w:sz w:val="32"/>
          <w:szCs w:val="32"/>
        </w:rPr>
        <w:t>77%</w:t>
      </w:r>
      <w:r>
        <w:rPr>
          <w:rFonts w:hint="eastAsia" w:ascii="仿宋_GB2312" w:hAnsi="楷体" w:eastAsia="仿宋_GB2312"/>
          <w:kern w:val="0"/>
          <w:sz w:val="32"/>
          <w:szCs w:val="32"/>
        </w:rPr>
        <w:t>；项目支出36.12万元，占</w:t>
      </w:r>
      <w:r>
        <w:rPr>
          <w:rFonts w:ascii="仿宋_GB2312" w:hAnsi="楷体" w:eastAsia="仿宋_GB2312"/>
          <w:kern w:val="0"/>
          <w:sz w:val="32"/>
          <w:szCs w:val="32"/>
        </w:rPr>
        <w:t>23%</w:t>
      </w:r>
      <w:r>
        <w:rPr>
          <w:rFonts w:hint="eastAsia" w:ascii="仿宋_GB2312" w:hAnsi="楷体" w:eastAsia="仿宋_GB2312"/>
          <w:kern w:val="0"/>
          <w:sz w:val="32"/>
          <w:szCs w:val="32"/>
        </w:rPr>
        <w:t>。</w:t>
      </w:r>
      <w:r>
        <w:rPr>
          <w:rFonts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年度财政拨款收、支总预算159.078032万元。与上年相比，财政拨款收、支总计各增加45.345452万元，增长</w:t>
      </w:r>
      <w:r>
        <w:rPr>
          <w:rFonts w:ascii="仿宋_GB2312" w:hAnsi="楷体" w:eastAsia="仿宋_GB2312"/>
          <w:kern w:val="0"/>
          <w:sz w:val="32"/>
          <w:szCs w:val="32"/>
        </w:rPr>
        <w:t>39%</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年一般公共预算支出预算159.078032万元，与上年相比增加45.345452万元，增长</w:t>
      </w:r>
      <w:r>
        <w:rPr>
          <w:rFonts w:ascii="仿宋_GB2312" w:hAnsi="楷体" w:eastAsia="仿宋_GB2312"/>
          <w:kern w:val="0"/>
          <w:sz w:val="32"/>
          <w:szCs w:val="32"/>
        </w:rPr>
        <w:t>39%</w:t>
      </w:r>
      <w:r>
        <w:rPr>
          <w:rFonts w:hint="eastAsia" w:ascii="仿宋_GB2312" w:hAnsi="楷体" w:eastAsia="仿宋_GB2312"/>
          <w:kern w:val="0"/>
          <w:sz w:val="32"/>
          <w:szCs w:val="32"/>
        </w:rPr>
        <w:t>。主要原因是商务局为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ascii="仿宋_GB2312" w:hAnsi="楷体" w:eastAsia="仿宋_GB2312"/>
          <w:kern w:val="0"/>
          <w:sz w:val="32"/>
          <w:szCs w:val="32"/>
        </w:rPr>
        <w:t>12</w:t>
      </w:r>
      <w:r>
        <w:rPr>
          <w:rFonts w:hint="eastAsia" w:ascii="仿宋_GB2312" w:hAnsi="楷体" w:eastAsia="仿宋_GB2312"/>
          <w:kern w:val="0"/>
          <w:sz w:val="32"/>
          <w:szCs w:val="32"/>
          <w:lang w:val="en-US" w:eastAsia="zh-CN"/>
        </w:rPr>
        <w:t>2.958032</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（一）人员经费116.608032万元。主要包括：基本工资48.9408万元、津贴补贴15.4972万元、奖金1.4182万元、社会保障缴费13.634688万元、绩效工资23.8942万元、医疗费5.965176万元、奖励金0.24万元、住房公积金6.729588万元、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（二）公用经费6.11元。主要包括：办公费0.4万元、印刷费0.3万元、差旅费0.5万元、工会经费0.3万元、公务用车运行维护费1.4万元、其他交通费用2.91万元、其他商品和服务支出0.3万元。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。主要原因是本单位无政府性基金收入和支出。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；公务用车购置及运行费支出1.4万元，占“三公”经费的</w:t>
      </w:r>
      <w:r>
        <w:rPr>
          <w:rFonts w:ascii="仿宋_GB2312" w:hAnsi="楷体" w:eastAsia="仿宋_GB2312"/>
          <w:kern w:val="0"/>
          <w:sz w:val="32"/>
          <w:szCs w:val="32"/>
        </w:rPr>
        <w:t>100%</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．公务用车购置及运行费预算支出1.4万元。其中：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）公务用车运行维护费预算支出1.4万元，与上年预算相同。</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0   </w:t>
      </w:r>
      <w:r>
        <w:rPr>
          <w:rFonts w:hint="eastAsia" w:ascii="仿宋_GB2312" w:hAnsi="楷体" w:eastAsia="仿宋_GB2312"/>
          <w:kern w:val="0"/>
          <w:sz w:val="32"/>
          <w:szCs w:val="32"/>
        </w:rPr>
        <w:t>万元，主要原因本单位公务接待费预算。</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万元，主要原因本单位无会议费预。</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襄汾县商务局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0</w:t>
      </w:r>
      <w:r>
        <w:rPr>
          <w:rFonts w:hint="eastAsia" w:ascii="仿宋_GB2312" w:hAnsi="楷体" w:eastAsia="仿宋_GB2312"/>
          <w:kern w:val="0"/>
          <w:sz w:val="32"/>
          <w:szCs w:val="32"/>
        </w:rPr>
        <w:t>万元，主要原因本单位无陪训费预算。</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6.11万元，与上年相比增加3.63万元，增长</w:t>
      </w:r>
      <w:r>
        <w:rPr>
          <w:rFonts w:ascii="仿宋_GB2312" w:hAnsi="楷体" w:eastAsia="仿宋_GB2312"/>
          <w:kern w:val="0"/>
          <w:sz w:val="32"/>
          <w:szCs w:val="32"/>
        </w:rPr>
        <w:t>14</w:t>
      </w:r>
      <w:r>
        <w:rPr>
          <w:rFonts w:hint="eastAsia" w:ascii="仿宋_GB2312" w:hAnsi="楷体" w:eastAsia="仿宋_GB2312"/>
          <w:kern w:val="0"/>
          <w:sz w:val="32"/>
          <w:szCs w:val="32"/>
        </w:rPr>
        <w:t>6</w:t>
      </w:r>
      <w:r>
        <w:rPr>
          <w:rFonts w:ascii="仿宋_GB2312" w:hAnsi="楷体" w:eastAsia="仿宋_GB2312"/>
          <w:kern w:val="0"/>
          <w:sz w:val="32"/>
          <w:szCs w:val="32"/>
        </w:rPr>
        <w:t>%</w:t>
      </w:r>
      <w:r>
        <w:rPr>
          <w:rFonts w:hint="eastAsia" w:ascii="仿宋_GB2312" w:hAnsi="楷体" w:eastAsia="仿宋_GB2312"/>
          <w:kern w:val="0"/>
          <w:sz w:val="32"/>
          <w:szCs w:val="32"/>
        </w:rPr>
        <w:t>。主要原因是：襄汾县商务局为</w:t>
      </w:r>
      <w:r>
        <w:rPr>
          <w:rFonts w:ascii="仿宋_GB2312" w:hAnsi="楷体" w:eastAsia="仿宋_GB2312"/>
          <w:kern w:val="0"/>
          <w:sz w:val="32"/>
          <w:szCs w:val="32"/>
        </w:rPr>
        <w:t>2019</w:t>
      </w:r>
      <w:r>
        <w:rPr>
          <w:rFonts w:hint="eastAsia" w:ascii="仿宋_GB2312" w:hAnsi="楷体" w:eastAsia="仿宋_GB2312"/>
          <w:kern w:val="0"/>
          <w:sz w:val="32"/>
          <w:szCs w:val="32"/>
        </w:rPr>
        <w:t>年新成立单位。</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ascii="仿宋_GB2312" w:hAnsi="楷体" w:eastAsia="仿宋_GB2312"/>
          <w:kern w:val="0"/>
          <w:sz w:val="32"/>
          <w:szCs w:val="32"/>
          <w:u w:val="single"/>
        </w:rPr>
        <w:t>0</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万元、拟采购工程支出</w:t>
      </w:r>
      <w:r>
        <w:rPr>
          <w:rFonts w:ascii="仿宋_GB2312" w:hAnsi="楷体" w:eastAsia="仿宋_GB2312"/>
          <w:kern w:val="0"/>
          <w:sz w:val="32"/>
          <w:szCs w:val="32"/>
          <w:u w:val="single"/>
        </w:rPr>
        <w:t>0</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0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ascii="仿宋_GB2312" w:hAnsi="楷体" w:eastAsia="仿宋_GB2312"/>
          <w:kern w:val="0"/>
          <w:sz w:val="32"/>
          <w:szCs w:val="32"/>
        </w:rPr>
        <w:t>1</w:t>
      </w:r>
      <w:r>
        <w:rPr>
          <w:rFonts w:hint="eastAsia" w:ascii="仿宋_GB2312" w:hAnsi="楷体" w:eastAsia="仿宋_GB2312"/>
          <w:kern w:val="0"/>
          <w:sz w:val="32"/>
          <w:szCs w:val="32"/>
        </w:rPr>
        <w:t>辆，其中，一般公务用车</w:t>
      </w:r>
      <w:r>
        <w:rPr>
          <w:rFonts w:ascii="仿宋_GB2312" w:hAnsi="楷体" w:eastAsia="仿宋_GB2312"/>
          <w:kern w:val="0"/>
          <w:sz w:val="32"/>
          <w:szCs w:val="32"/>
        </w:rPr>
        <w:t>1</w:t>
      </w:r>
      <w:r>
        <w:rPr>
          <w:rFonts w:hint="eastAsia" w:ascii="仿宋_GB2312" w:hAnsi="楷体" w:eastAsia="仿宋_GB2312"/>
          <w:kern w:val="0"/>
          <w:sz w:val="32"/>
          <w:szCs w:val="32"/>
        </w:rPr>
        <w:t>辆、执法执勤用车</w:t>
      </w:r>
      <w:r>
        <w:rPr>
          <w:rFonts w:ascii="仿宋_GB2312" w:hAnsi="楷体" w:eastAsia="仿宋_GB2312"/>
          <w:kern w:val="0"/>
          <w:sz w:val="32"/>
          <w:szCs w:val="32"/>
          <w:u w:val="single"/>
        </w:rPr>
        <w:t>0</w:t>
      </w:r>
      <w:r>
        <w:rPr>
          <w:rFonts w:hint="eastAsia" w:ascii="仿宋_GB2312" w:hAnsi="楷体" w:eastAsia="仿宋_GB2312"/>
          <w:kern w:val="0"/>
          <w:sz w:val="32"/>
          <w:szCs w:val="32"/>
        </w:rPr>
        <w:t>辆、特种专业技术用车</w:t>
      </w:r>
      <w:r>
        <w:rPr>
          <w:rFonts w:ascii="仿宋_GB2312" w:hAnsi="楷体" w:eastAsia="仿宋_GB2312"/>
          <w:kern w:val="0"/>
          <w:sz w:val="32"/>
          <w:szCs w:val="32"/>
          <w:u w:val="single"/>
        </w:rPr>
        <w:t>0</w:t>
      </w:r>
      <w:r>
        <w:rPr>
          <w:rFonts w:hint="eastAsia" w:ascii="仿宋_GB2312" w:hAnsi="楷体" w:eastAsia="仿宋_GB2312"/>
          <w:kern w:val="0"/>
          <w:sz w:val="32"/>
          <w:szCs w:val="32"/>
        </w:rPr>
        <w:t>辆、其他用车</w:t>
      </w:r>
      <w:r>
        <w:rPr>
          <w:rFonts w:ascii="仿宋_GB2312" w:hAnsi="楷体" w:eastAsia="仿宋_GB2312"/>
          <w:kern w:val="0"/>
          <w:sz w:val="32"/>
          <w:szCs w:val="32"/>
          <w:u w:val="single"/>
        </w:rPr>
        <w:t>0</w:t>
      </w:r>
      <w:r>
        <w:rPr>
          <w:rFonts w:hint="eastAsia" w:ascii="仿宋_GB2312" w:hAnsi="楷体" w:eastAsia="仿宋_GB2312"/>
          <w:kern w:val="0"/>
          <w:sz w:val="32"/>
          <w:szCs w:val="32"/>
        </w:rPr>
        <w:t>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 xml:space="preserve"> </w:t>
      </w:r>
      <w:r>
        <w:rPr>
          <w:rFonts w:ascii="仿宋_GB2312" w:hAnsi="楷体" w:eastAsia="仿宋_GB2312"/>
          <w:kern w:val="0"/>
          <w:sz w:val="32"/>
          <w:szCs w:val="32"/>
        </w:rPr>
        <w:t>5</w:t>
      </w:r>
      <w:r>
        <w:rPr>
          <w:rFonts w:hint="eastAsia" w:ascii="仿宋_GB2312" w:hAnsi="楷体" w:eastAsia="仿宋_GB2312"/>
          <w:kern w:val="0"/>
          <w:sz w:val="32"/>
          <w:szCs w:val="32"/>
          <w:lang w:val="en-US" w:eastAsia="zh-CN"/>
        </w:rPr>
        <w:t xml:space="preserve"> </w:t>
      </w:r>
      <w:r>
        <w:rPr>
          <w:rFonts w:hint="eastAsia" w:ascii="仿宋_GB2312" w:hAnsi="楷体" w:eastAsia="仿宋_GB2312"/>
          <w:kern w:val="0"/>
          <w:sz w:val="32"/>
          <w:szCs w:val="32"/>
        </w:rPr>
        <w:t>个项目纳入绩效目标管理，涉及财政性资金合计</w:t>
      </w:r>
      <w:r>
        <w:rPr>
          <w:rFonts w:ascii="仿宋_GB2312" w:hAnsi="楷体" w:eastAsia="仿宋_GB2312"/>
          <w:kern w:val="0"/>
          <w:sz w:val="32"/>
          <w:szCs w:val="32"/>
        </w:rPr>
        <w:t>36</w:t>
      </w:r>
      <w:r>
        <w:rPr>
          <w:rFonts w:hint="eastAsia" w:ascii="仿宋_GB2312" w:hAnsi="楷体" w:eastAsia="仿宋_GB2312"/>
          <w:kern w:val="0"/>
          <w:sz w:val="32"/>
          <w:szCs w:val="32"/>
        </w:rPr>
        <w:t>.12万元；本部门单位整体支出（（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ascii="仿宋_GB2312" w:hAnsi="楷体" w:eastAsia="仿宋_GB2312"/>
          <w:kern w:val="0"/>
          <w:sz w:val="32"/>
          <w:szCs w:val="32"/>
        </w:rPr>
        <w:t>36</w:t>
      </w:r>
      <w:r>
        <w:rPr>
          <w:rFonts w:hint="eastAsia" w:ascii="仿宋_GB2312" w:hAnsi="楷体" w:eastAsia="仿宋_GB2312"/>
          <w:kern w:val="0"/>
          <w:sz w:val="32"/>
          <w:szCs w:val="32"/>
        </w:rPr>
        <w:t>.12万元。</w:t>
      </w:r>
    </w:p>
    <w:p>
      <w:pPr>
        <w:widowControl/>
        <w:numPr>
          <w:ilvl w:val="0"/>
          <w:numId w:val="2"/>
        </w:numPr>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numId w:val="0"/>
        </w:numPr>
        <w:spacing w:line="560" w:lineRule="exac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无</w:t>
      </w:r>
    </w:p>
    <w:p>
      <w:pPr>
        <w:widowControl/>
        <w:numPr>
          <w:numId w:val="0"/>
        </w:numPr>
        <w:spacing w:line="560" w:lineRule="exact"/>
        <w:rPr>
          <w:rFonts w:hint="eastAsia" w:ascii="仿宋_GB2312" w:hAnsi="楷体" w:eastAsia="仿宋_GB2312"/>
          <w:kern w:val="0"/>
          <w:sz w:val="32"/>
          <w:szCs w:val="32"/>
          <w:lang w:val="en-US" w:eastAsia="zh-CN"/>
        </w:rPr>
      </w:pPr>
      <w:bookmarkStart w:id="0" w:name="_GoBack"/>
      <w:bookmarkEnd w:id="0"/>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w:t>
      </w:r>
      <w:r>
        <w:rPr>
          <w:rFonts w:ascii="黑体" w:hAnsi="Times New Roman" w:eastAsia="黑体"/>
          <w:kern w:val="0"/>
          <w:sz w:val="32"/>
          <w:szCs w:val="32"/>
        </w:rPr>
        <w:t xml:space="preserve">  </w:t>
      </w:r>
      <w:r>
        <w:rPr>
          <w:rFonts w:hint="eastAsia" w:ascii="黑体" w:hAnsi="Times New Roman" w:eastAsia="黑体"/>
          <w:kern w:val="0"/>
          <w:sz w:val="32"/>
          <w:szCs w:val="32"/>
        </w:rPr>
        <w:t>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5"/>
        <w:rFonts w:ascii="宋体"/>
        <w:sz w:val="28"/>
        <w:szCs w:val="28"/>
      </w:rPr>
    </w:pPr>
    <w:r>
      <w:rPr>
        <w:rStyle w:val="5"/>
        <w:rFonts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8</w:t>
    </w:r>
    <w:r>
      <w:rPr>
        <w:rStyle w:val="5"/>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3822E"/>
    <w:multiLevelType w:val="singleLevel"/>
    <w:tmpl w:val="8E03822E"/>
    <w:lvl w:ilvl="0" w:tentative="0">
      <w:start w:val="13"/>
      <w:numFmt w:val="chineseCounting"/>
      <w:suff w:val="nothing"/>
      <w:lvlText w:val="%1、"/>
      <w:lvlJc w:val="left"/>
      <w:rPr>
        <w:rFonts w:hint="eastAsia" w:cs="Times New Roman"/>
      </w:rPr>
    </w:lvl>
  </w:abstractNum>
  <w:abstractNum w:abstractNumId="1">
    <w:nsid w:val="5456D05E"/>
    <w:multiLevelType w:val="singleLevel"/>
    <w:tmpl w:val="5456D05E"/>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E6A"/>
    <w:rsid w:val="000B0E6A"/>
    <w:rsid w:val="000F7FAF"/>
    <w:rsid w:val="00155352"/>
    <w:rsid w:val="00314382"/>
    <w:rsid w:val="00361967"/>
    <w:rsid w:val="004D03F9"/>
    <w:rsid w:val="005D61F4"/>
    <w:rsid w:val="00647F16"/>
    <w:rsid w:val="006F2783"/>
    <w:rsid w:val="007C6158"/>
    <w:rsid w:val="00941176"/>
    <w:rsid w:val="00B3604C"/>
    <w:rsid w:val="00C74217"/>
    <w:rsid w:val="00D2737E"/>
    <w:rsid w:val="00ED2147"/>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0112E8"/>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796481"/>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5558B6"/>
    <w:rsid w:val="3D6345D6"/>
    <w:rsid w:val="3F0D5E27"/>
    <w:rsid w:val="3F510BAC"/>
    <w:rsid w:val="3F5B1A54"/>
    <w:rsid w:val="3FF763B7"/>
    <w:rsid w:val="4010633E"/>
    <w:rsid w:val="40194460"/>
    <w:rsid w:val="406929B7"/>
    <w:rsid w:val="413855EC"/>
    <w:rsid w:val="41F73716"/>
    <w:rsid w:val="42314B4F"/>
    <w:rsid w:val="42321896"/>
    <w:rsid w:val="42932653"/>
    <w:rsid w:val="42A87774"/>
    <w:rsid w:val="436B0382"/>
    <w:rsid w:val="44B8486B"/>
    <w:rsid w:val="45047640"/>
    <w:rsid w:val="457C07BD"/>
    <w:rsid w:val="460433B9"/>
    <w:rsid w:val="46463CE7"/>
    <w:rsid w:val="47EE3BCE"/>
    <w:rsid w:val="48882984"/>
    <w:rsid w:val="49FF0CFB"/>
    <w:rsid w:val="4B517DBB"/>
    <w:rsid w:val="4BEC58E9"/>
    <w:rsid w:val="4BF3571C"/>
    <w:rsid w:val="4CCC2331"/>
    <w:rsid w:val="4D6954BF"/>
    <w:rsid w:val="50BC7B39"/>
    <w:rsid w:val="50D16B32"/>
    <w:rsid w:val="527C3191"/>
    <w:rsid w:val="53DD6BA8"/>
    <w:rsid w:val="53F21A3F"/>
    <w:rsid w:val="55B2288E"/>
    <w:rsid w:val="55CB4852"/>
    <w:rsid w:val="579E20B3"/>
    <w:rsid w:val="57F87F43"/>
    <w:rsid w:val="58430EF3"/>
    <w:rsid w:val="586C7F34"/>
    <w:rsid w:val="58AA41B4"/>
    <w:rsid w:val="59AC6411"/>
    <w:rsid w:val="59F50CBF"/>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4FF049E"/>
    <w:rsid w:val="65A60FF6"/>
    <w:rsid w:val="67573C0D"/>
    <w:rsid w:val="67606103"/>
    <w:rsid w:val="67EB6718"/>
    <w:rsid w:val="68C7713A"/>
    <w:rsid w:val="68F242AC"/>
    <w:rsid w:val="6ABB4B62"/>
    <w:rsid w:val="6AD54732"/>
    <w:rsid w:val="6B73082E"/>
    <w:rsid w:val="6DC95D4D"/>
    <w:rsid w:val="6DD00F51"/>
    <w:rsid w:val="6DEE1B08"/>
    <w:rsid w:val="6E130B2A"/>
    <w:rsid w:val="6E5205D8"/>
    <w:rsid w:val="6EBD19E2"/>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501FC7"/>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uiPriority w:val="99"/>
    <w:rPr>
      <w:rFonts w:cs="Times New Roman"/>
    </w:rPr>
  </w:style>
  <w:style w:type="character" w:customStyle="1" w:styleId="7">
    <w:name w:val="页脚 Char"/>
    <w:link w:val="2"/>
    <w:semiHidden/>
    <w:qFormat/>
    <w:uiPriority w:val="99"/>
    <w:rPr>
      <w:sz w:val="18"/>
      <w:szCs w:val="18"/>
    </w:rPr>
  </w:style>
  <w:style w:type="character" w:customStyle="1" w:styleId="8">
    <w:name w:val="页眉 Char"/>
    <w:link w:val="3"/>
    <w:semiHidden/>
    <w:qFormat/>
    <w:uiPriority w:val="99"/>
    <w:rPr>
      <w:sz w:val="18"/>
      <w:szCs w:val="18"/>
    </w:rPr>
  </w:style>
  <w:style w:type="paragraph" w:customStyle="1" w:styleId="9">
    <w:name w:val="Char Char Char Char Char Char Char"/>
    <w:basedOn w:val="1"/>
    <w:uiPriority w:val="99"/>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545</Words>
  <Characters>3109</Characters>
  <Lines>25</Lines>
  <Paragraphs>7</Paragraphs>
  <TotalTime>0</TotalTime>
  <ScaleCrop>false</ScaleCrop>
  <LinksUpToDate>false</LinksUpToDate>
  <CharactersWithSpaces>3647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2020-05-19T03:47:00Z</cp:lastPrinted>
  <dcterms:modified xsi:type="dcterms:W3CDTF">2020-05-27T08:36:39Z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