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tabs>
          <w:tab w:val="left" w:pos="7200"/>
          <w:tab w:val="left" w:pos="7560"/>
        </w:tabs>
        <w:kinsoku/>
        <w:wordWrap/>
        <w:overflowPunct/>
        <w:topLinePunct w:val="0"/>
        <w:bidi w:val="0"/>
        <w:spacing w:line="560" w:lineRule="exact"/>
        <w:jc w:val="left"/>
        <w:textAlignment w:val="auto"/>
        <w:rPr>
          <w:rFonts w:hint="eastAsia" w:ascii="仿宋_GB2312" w:hAnsi="宋体" w:eastAsia="仿宋_GB2312" w:cs="宋体"/>
          <w:kern w:val="0"/>
          <w:szCs w:val="32"/>
        </w:rPr>
      </w:pP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临汾市陶寺遗址管理处</w:t>
      </w: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负责对陶寺遗址景区的管理</w:t>
      </w:r>
      <w:bookmarkStart w:id="0" w:name="_GoBack"/>
      <w:bookmarkEnd w:id="0"/>
    </w:p>
    <w:p>
      <w:pPr>
        <w:keepNext w:val="0"/>
        <w:keepLines w:val="0"/>
        <w:pageBreakBefore w:val="0"/>
        <w:widowControl w:val="0"/>
        <w:numPr>
          <w:ilvl w:val="0"/>
          <w:numId w:val="1"/>
        </w:numPr>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keepNext w:val="0"/>
        <w:keepLines w:val="0"/>
        <w:pageBreakBefore w:val="0"/>
        <w:widowControl w:val="0"/>
        <w:kinsoku/>
        <w:wordWrap/>
        <w:overflowPunct/>
        <w:topLinePunct w:val="0"/>
        <w:bidi w:val="0"/>
        <w:ind w:firstLine="640" w:firstLineChars="200"/>
        <w:textAlignment w:val="auto"/>
        <w:rPr>
          <w:rFonts w:hint="eastAsia" w:ascii="仿宋_GB2312" w:hAnsi="楷体" w:eastAsia="仿宋_GB2312"/>
          <w:kern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临汾市陶寺遗址管理处成立于2006年，副处级建制，为全额</w:t>
      </w:r>
      <w:r>
        <w:rPr>
          <w:rFonts w:hint="eastAsia" w:ascii="仿宋" w:hAnsi="仿宋" w:eastAsia="仿宋" w:cs="仿宋"/>
          <w:sz w:val="32"/>
          <w:szCs w:val="32"/>
          <w:lang w:eastAsia="zh-CN"/>
        </w:rPr>
        <w:t>财政拨款</w:t>
      </w:r>
      <w:r>
        <w:rPr>
          <w:rFonts w:hint="eastAsia" w:ascii="仿宋" w:hAnsi="仿宋" w:eastAsia="仿宋" w:cs="仿宋"/>
          <w:sz w:val="32"/>
          <w:szCs w:val="32"/>
        </w:rPr>
        <w:t>事业单位，隶属于市政府，委托襄汾县管理，核定全额预算事业编制5名。</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w:t>
      </w:r>
      <w:r>
        <w:rPr>
          <w:rFonts w:hint="eastAsia" w:ascii="仿宋_GB2312" w:hAnsi="楷体" w:eastAsia="仿宋_GB2312"/>
          <w:kern w:val="0"/>
          <w:sz w:val="32"/>
          <w:szCs w:val="32"/>
          <w:lang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临汾市陶寺遗址管理处</w:t>
      </w:r>
      <w:r>
        <w:rPr>
          <w:rFonts w:hint="eastAsia" w:ascii="仿宋_GB2312" w:hAnsi="楷体" w:eastAsia="仿宋_GB2312"/>
          <w:kern w:val="0"/>
          <w:sz w:val="32"/>
          <w:szCs w:val="32"/>
        </w:rPr>
        <w:t>本级。</w:t>
      </w:r>
    </w:p>
    <w:p>
      <w:pPr>
        <w:keepNext w:val="0"/>
        <w:keepLines w:val="0"/>
        <w:pageBreakBefore w:val="0"/>
        <w:widowControl w:val="0"/>
        <w:numPr>
          <w:ilvl w:val="0"/>
          <w:numId w:val="0"/>
        </w:numPr>
        <w:kinsoku/>
        <w:wordWrap/>
        <w:overflowPunct/>
        <w:topLinePunct w:val="0"/>
        <w:bidi w:val="0"/>
        <w:spacing w:line="560" w:lineRule="exact"/>
        <w:textAlignment w:val="auto"/>
        <w:rPr>
          <w:rFonts w:hint="default" w:ascii="仿宋_GB2312" w:hAnsi="楷体" w:eastAsia="仿宋_GB2312"/>
          <w:kern w:val="0"/>
          <w:sz w:val="32"/>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eastAsia="zh-CN"/>
        </w:rPr>
        <w:t>临汾市陶寺遗址管理处</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临汾市陶寺遗址管理处</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仿宋_GB2312" w:hAnsi="宋体" w:eastAsia="仿宋_GB2312" w:cs="Times New Roman"/>
          <w:sz w:val="32"/>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u w:val="single"/>
          <w:lang w:eastAsia="zh-CN"/>
        </w:rPr>
        <w:t>临汾市陶寺遗址管理处</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0.821936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0.016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0.821936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增加了项目支出和人员工资福利正常薪级调整。</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rPr>
        <w:t>万元。包括：</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43.4811</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人员工资支出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6.7511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18.38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人员工资福利正常薪级调整。</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4.86906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单位养老支出、财政对其他社会保险基金的补助支出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5.0802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减少了单位职业年金缴费支出和财政对生育保险基金的补助支出。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3.卫生健康支出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1.932588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财政对基本医疗保险基金的补助支出和其他卫生健康支出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0.319224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在职转退休一人</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4.住房保障支出支出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2.071548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住房改革支出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0.52974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在职转退休一人</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38.208296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13.025064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在职转退休一人</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13.8460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新增了退役军人就业帮扶和后勤服务两个项目</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临汾市陶寺遗址管理处</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临汾市陶寺遗址管理处</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38.208296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14.1460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临汾市陶寺遗址管理处</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0.821936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0.016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增加了项目支出和人员工资福利正常薪级调整。</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临汾市陶寺遗址管理处</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0.821936</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0.016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增加了项目支出和人员工资福利正常薪级调整。</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lang w:eastAsia="zh-CN"/>
        </w:rPr>
        <w:t>临汾市陶寺遗址管理处</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52.354296</w:t>
      </w:r>
      <w:r>
        <w:rPr>
          <w:rFonts w:hint="eastAsia" w:ascii="仿宋_GB2312" w:hAnsi="楷体" w:eastAsia="仿宋_GB2312"/>
          <w:kern w:val="0"/>
          <w:sz w:val="32"/>
          <w:szCs w:val="32"/>
        </w:rPr>
        <w:t>万元，其中：</w:t>
      </w:r>
    </w:p>
    <w:p>
      <w:pPr>
        <w:keepNext w:val="0"/>
        <w:keepLines w:val="0"/>
        <w:pageBreakBefore w:val="0"/>
        <w:widowControl w:val="0"/>
        <w:kinsoku/>
        <w:wordWrap/>
        <w:overflowPunct/>
        <w:topLinePunct w:val="0"/>
        <w:bidi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37.728296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万元。主要包括：基本工资、津贴补贴、奖金、社会保障缴费、绩效工资、其他工资福利支出、退休费、医疗费、奖励金、住房公积金、其他对个人和家庭的补助支出。</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0.48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万元。主要包括：办公费、印刷费、水费、电费、邮电费、差旅费、维修（护）费。</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本部门无政府性基金支出。</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临汾市陶寺遗址管理处2020年度一般公共预算拨款安排的“三公”经费预算支出中，因公出国（境）费支出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万元，占“三公”经费的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 xml:space="preserve">公务用车购置及运行费支出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万元，占“三公”经费的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 xml:space="preserve">公务接待费支出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万元，占“三公”经费的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%。具体情况如下：</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1．因公出国（境）费预算支出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2．公务用车购置及运行费预算支出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万元。其中：</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（1）公务用车购置预算支出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（2）公务用车运行维护费预算支出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万元，比上年预算增加（减少） </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lang w:eastAsia="zh-CN"/>
        </w:rPr>
        <w:t xml:space="preserve">  万元，主要原因是本单位无公务用车。</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3．公务接待费预算支出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万元，比上年预算增加（减少）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万元，主要原因本单位无公务接待费预算支出。</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临汾市陶寺遗址管理处2020年度一般公共预算拨款安排的会议费预算支出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万元，比上年预算增加（减少）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万元，主要原因是本单位无会议费预算支出。</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 xml:space="preserve">临汾市陶寺遗址管理处2020年度一般公共预算拨款安排的培训费预算支出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lang w:eastAsia="zh-CN"/>
        </w:rPr>
        <w:t>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lang w:eastAsia="zh-CN"/>
        </w:rPr>
        <w:t xml:space="preserve">  万元，主要原因：临汾市陶寺遗址管理处无培训费预算支出。</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keepNext w:val="0"/>
        <w:keepLines w:val="0"/>
        <w:pageBreakBefore w:val="0"/>
        <w:widowControl w:val="0"/>
        <w:kinsoku/>
        <w:wordWrap/>
        <w:overflowPunct/>
        <w:topLinePunct w:val="0"/>
        <w:autoSpaceDE w:val="0"/>
        <w:autoSpaceDN w:val="0"/>
        <w:bidi w:val="0"/>
        <w:adjustRightInd w:val="0"/>
        <w:ind w:firstLine="800" w:firstLineChars="250"/>
        <w:jc w:val="left"/>
        <w:textAlignment w:val="auto"/>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0.48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0.12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在职转退休一人</w:t>
      </w:r>
      <w:r>
        <w:rPr>
          <w:rFonts w:hint="eastAsia" w:ascii="仿宋_GB2312" w:hAnsi="楷体" w:eastAsia="仿宋_GB2312"/>
          <w:kern w:val="0"/>
          <w:sz w:val="32"/>
          <w:szCs w:val="32"/>
        </w:rPr>
        <w:t>。</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本部门</w:t>
      </w:r>
      <w:r>
        <w:rPr>
          <w:rFonts w:hint="eastAsia" w:ascii="仿宋" w:hAnsi="仿宋" w:eastAsia="仿宋" w:cs="仿宋"/>
          <w:sz w:val="32"/>
          <w:szCs w:val="32"/>
          <w:lang w:val="en-US" w:eastAsia="zh-CN"/>
        </w:rPr>
        <w:t>2020年度</w:t>
      </w:r>
      <w:r>
        <w:rPr>
          <w:rFonts w:hint="eastAsia" w:ascii="仿宋" w:hAnsi="仿宋" w:eastAsia="仿宋" w:cs="仿宋"/>
          <w:sz w:val="32"/>
          <w:szCs w:val="32"/>
          <w:lang w:eastAsia="zh-CN"/>
        </w:rPr>
        <w:t>无</w:t>
      </w:r>
      <w:r>
        <w:rPr>
          <w:rFonts w:hint="eastAsia" w:ascii="仿宋" w:hAnsi="仿宋" w:eastAsia="仿宋" w:cs="仿宋"/>
          <w:sz w:val="32"/>
          <w:szCs w:val="32"/>
        </w:rPr>
        <w:t>政府采购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keepNext w:val="0"/>
        <w:keepLines w:val="0"/>
        <w:pageBreakBefore w:val="0"/>
        <w:widowControl w:val="0"/>
        <w:kinsoku/>
        <w:wordWrap/>
        <w:overflowPunct/>
        <w:topLinePunct w:val="0"/>
        <w:autoSpaceDE w:val="0"/>
        <w:autoSpaceDN w:val="0"/>
        <w:bidi w:val="0"/>
        <w:adjustRightInd w:val="0"/>
        <w:ind w:firstLine="640" w:firstLineChars="200"/>
        <w:jc w:val="left"/>
        <w:textAlignment w:val="auto"/>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keepNext w:val="0"/>
        <w:keepLines w:val="0"/>
        <w:pageBreakBefore w:val="0"/>
        <w:widowControl w:val="0"/>
        <w:kinsoku/>
        <w:wordWrap/>
        <w:overflowPunct/>
        <w:topLinePunct w:val="0"/>
        <w:autoSpaceDE w:val="0"/>
        <w:autoSpaceDN w:val="0"/>
        <w:bidi w:val="0"/>
        <w:adjustRightInd w:val="0"/>
        <w:ind w:firstLine="800" w:firstLineChars="250"/>
        <w:jc w:val="left"/>
        <w:textAlignment w:val="auto"/>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14.146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14.146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十三、</w:t>
      </w:r>
      <w:r>
        <w:rPr>
          <w:rFonts w:hint="eastAsia" w:ascii="仿宋_GB2312" w:hAnsi="楷体" w:eastAsia="仿宋_GB2312"/>
          <w:kern w:val="0"/>
          <w:sz w:val="32"/>
          <w:szCs w:val="32"/>
        </w:rPr>
        <w:t>其他说明</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 xml:space="preserve"> </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本单位无其他需要说明的事项。</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仿宋" w:eastAsia="仿宋_GB2312"/>
          <w:kern w:val="0"/>
          <w:sz w:val="32"/>
          <w:szCs w:val="32"/>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kern w:val="0"/>
          <w:sz w:val="32"/>
          <w:szCs w:val="32"/>
        </w:rPr>
      </w:pPr>
    </w:p>
    <w:p>
      <w:pPr>
        <w:keepNext w:val="0"/>
        <w:keepLines w:val="0"/>
        <w:pageBreakBefore w:val="0"/>
        <w:widowControl w:val="0"/>
        <w:kinsoku/>
        <w:wordWrap/>
        <w:overflowPunct/>
        <w:topLinePunct w:val="0"/>
        <w:bidi w:val="0"/>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keepNext w:val="0"/>
        <w:keepLines w:val="0"/>
        <w:pageBreakBefore w:val="0"/>
        <w:widowControl w:val="0"/>
        <w:kinsoku/>
        <w:wordWrap/>
        <w:overflowPunct/>
        <w:topLinePunct w:val="0"/>
        <w:bidi w:val="0"/>
        <w:spacing w:line="560" w:lineRule="exact"/>
        <w:ind w:firstLine="636"/>
        <w:textAlignment w:val="auto"/>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line="560" w:lineRule="exact"/>
        <w:ind w:firstLine="636"/>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kinsoku/>
        <w:wordWrap/>
        <w:overflowPunct/>
        <w:topLinePunct w:val="0"/>
        <w:bidi w:val="0"/>
        <w:snapToGrid w:val="0"/>
        <w:spacing w:line="560" w:lineRule="exact"/>
        <w:ind w:firstLine="640"/>
        <w:textAlignment w:val="auto"/>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B9226A"/>
    <w:rsid w:val="01E2763B"/>
    <w:rsid w:val="01F76C35"/>
    <w:rsid w:val="02302B49"/>
    <w:rsid w:val="02496741"/>
    <w:rsid w:val="02675559"/>
    <w:rsid w:val="02F71C94"/>
    <w:rsid w:val="03981C1C"/>
    <w:rsid w:val="042A46B1"/>
    <w:rsid w:val="047252B7"/>
    <w:rsid w:val="0595462A"/>
    <w:rsid w:val="05E51BD6"/>
    <w:rsid w:val="06032736"/>
    <w:rsid w:val="068F085F"/>
    <w:rsid w:val="06C82279"/>
    <w:rsid w:val="085E3D01"/>
    <w:rsid w:val="09ED16A4"/>
    <w:rsid w:val="0A395A2B"/>
    <w:rsid w:val="0A781506"/>
    <w:rsid w:val="0A831A07"/>
    <w:rsid w:val="0AE134F4"/>
    <w:rsid w:val="0B7A268C"/>
    <w:rsid w:val="0C550EC0"/>
    <w:rsid w:val="0ECF36D9"/>
    <w:rsid w:val="0FAC09AE"/>
    <w:rsid w:val="10675503"/>
    <w:rsid w:val="10F95EB1"/>
    <w:rsid w:val="1153560D"/>
    <w:rsid w:val="11910BD1"/>
    <w:rsid w:val="120702AF"/>
    <w:rsid w:val="12AC5325"/>
    <w:rsid w:val="12D23932"/>
    <w:rsid w:val="13D31AA5"/>
    <w:rsid w:val="14897DBA"/>
    <w:rsid w:val="16027FF2"/>
    <w:rsid w:val="16407400"/>
    <w:rsid w:val="164D2E81"/>
    <w:rsid w:val="16A97B7B"/>
    <w:rsid w:val="16B00739"/>
    <w:rsid w:val="17A809B3"/>
    <w:rsid w:val="18692FEC"/>
    <w:rsid w:val="189004E1"/>
    <w:rsid w:val="194E10E9"/>
    <w:rsid w:val="19B3058F"/>
    <w:rsid w:val="19CE7BD6"/>
    <w:rsid w:val="19D410BE"/>
    <w:rsid w:val="19EF64A7"/>
    <w:rsid w:val="1A892D2D"/>
    <w:rsid w:val="1AEA4822"/>
    <w:rsid w:val="1B2A0364"/>
    <w:rsid w:val="1D06117F"/>
    <w:rsid w:val="1D0C73FC"/>
    <w:rsid w:val="1DA04632"/>
    <w:rsid w:val="1DBF43F1"/>
    <w:rsid w:val="1E0B744A"/>
    <w:rsid w:val="1E46404A"/>
    <w:rsid w:val="1E8B07BA"/>
    <w:rsid w:val="1F167368"/>
    <w:rsid w:val="1FA23AFA"/>
    <w:rsid w:val="1FD5315A"/>
    <w:rsid w:val="20154AC9"/>
    <w:rsid w:val="20953A56"/>
    <w:rsid w:val="20B465EE"/>
    <w:rsid w:val="22461B1D"/>
    <w:rsid w:val="229A0D7C"/>
    <w:rsid w:val="22DF6CA5"/>
    <w:rsid w:val="23613E3F"/>
    <w:rsid w:val="236211B6"/>
    <w:rsid w:val="23B363D4"/>
    <w:rsid w:val="23C10D48"/>
    <w:rsid w:val="23D52ACB"/>
    <w:rsid w:val="23F2500F"/>
    <w:rsid w:val="24D33A48"/>
    <w:rsid w:val="253070A9"/>
    <w:rsid w:val="25EA33E2"/>
    <w:rsid w:val="25F8335C"/>
    <w:rsid w:val="26267710"/>
    <w:rsid w:val="26D73A12"/>
    <w:rsid w:val="26D867DF"/>
    <w:rsid w:val="275561AD"/>
    <w:rsid w:val="275B5730"/>
    <w:rsid w:val="27B05315"/>
    <w:rsid w:val="285370BD"/>
    <w:rsid w:val="28B179A0"/>
    <w:rsid w:val="297F60F4"/>
    <w:rsid w:val="29A118F7"/>
    <w:rsid w:val="29A121F5"/>
    <w:rsid w:val="29C54245"/>
    <w:rsid w:val="29E0272A"/>
    <w:rsid w:val="29E745D6"/>
    <w:rsid w:val="2A0C4B1E"/>
    <w:rsid w:val="2A9227ED"/>
    <w:rsid w:val="2A997794"/>
    <w:rsid w:val="2A9E2832"/>
    <w:rsid w:val="2AA80908"/>
    <w:rsid w:val="2B4A170A"/>
    <w:rsid w:val="2C292926"/>
    <w:rsid w:val="2CAD5294"/>
    <w:rsid w:val="2CC76935"/>
    <w:rsid w:val="2D282446"/>
    <w:rsid w:val="2D706BB7"/>
    <w:rsid w:val="2DFF008B"/>
    <w:rsid w:val="2E08317D"/>
    <w:rsid w:val="2E4538B8"/>
    <w:rsid w:val="2E896F1F"/>
    <w:rsid w:val="2EA338F8"/>
    <w:rsid w:val="2FDA2E6C"/>
    <w:rsid w:val="30B46CA3"/>
    <w:rsid w:val="316856A6"/>
    <w:rsid w:val="31CA3EE9"/>
    <w:rsid w:val="32103D80"/>
    <w:rsid w:val="32673A99"/>
    <w:rsid w:val="32CE2438"/>
    <w:rsid w:val="338C07DE"/>
    <w:rsid w:val="33D36CF1"/>
    <w:rsid w:val="34732E94"/>
    <w:rsid w:val="34C942F5"/>
    <w:rsid w:val="34DE6D61"/>
    <w:rsid w:val="35780C7F"/>
    <w:rsid w:val="36951834"/>
    <w:rsid w:val="36D55DA2"/>
    <w:rsid w:val="373B78F2"/>
    <w:rsid w:val="39013007"/>
    <w:rsid w:val="395C094E"/>
    <w:rsid w:val="397841A2"/>
    <w:rsid w:val="39B865D7"/>
    <w:rsid w:val="39C35268"/>
    <w:rsid w:val="39FD2297"/>
    <w:rsid w:val="3ABA5314"/>
    <w:rsid w:val="3B0872A5"/>
    <w:rsid w:val="3B663621"/>
    <w:rsid w:val="3C9A09D4"/>
    <w:rsid w:val="3D036264"/>
    <w:rsid w:val="3D11386C"/>
    <w:rsid w:val="3D6345D6"/>
    <w:rsid w:val="3DBD607F"/>
    <w:rsid w:val="3DFD5D2E"/>
    <w:rsid w:val="3E0E541C"/>
    <w:rsid w:val="3E247CF3"/>
    <w:rsid w:val="3F0D5E27"/>
    <w:rsid w:val="3F28639B"/>
    <w:rsid w:val="3F386E86"/>
    <w:rsid w:val="3F510BAC"/>
    <w:rsid w:val="3F5B1A54"/>
    <w:rsid w:val="3FF763B7"/>
    <w:rsid w:val="4010633E"/>
    <w:rsid w:val="406929B7"/>
    <w:rsid w:val="412E7BB2"/>
    <w:rsid w:val="413855EC"/>
    <w:rsid w:val="41AC4EEC"/>
    <w:rsid w:val="41F73716"/>
    <w:rsid w:val="42314B4F"/>
    <w:rsid w:val="42321896"/>
    <w:rsid w:val="42932653"/>
    <w:rsid w:val="42A87774"/>
    <w:rsid w:val="436B0382"/>
    <w:rsid w:val="44B8486B"/>
    <w:rsid w:val="45047640"/>
    <w:rsid w:val="454723AA"/>
    <w:rsid w:val="457C07BD"/>
    <w:rsid w:val="46327384"/>
    <w:rsid w:val="46463CE7"/>
    <w:rsid w:val="47E9575C"/>
    <w:rsid w:val="47EE3BCE"/>
    <w:rsid w:val="47FB4E51"/>
    <w:rsid w:val="48882984"/>
    <w:rsid w:val="48E521E7"/>
    <w:rsid w:val="490803B1"/>
    <w:rsid w:val="49862F84"/>
    <w:rsid w:val="49FF0CFB"/>
    <w:rsid w:val="4A1421B6"/>
    <w:rsid w:val="4B517DBB"/>
    <w:rsid w:val="4B674094"/>
    <w:rsid w:val="4BEC58E9"/>
    <w:rsid w:val="4BF3571C"/>
    <w:rsid w:val="4CCC2331"/>
    <w:rsid w:val="4D0344AE"/>
    <w:rsid w:val="4D6954BF"/>
    <w:rsid w:val="4E4E726C"/>
    <w:rsid w:val="50BC7B39"/>
    <w:rsid w:val="513E00E6"/>
    <w:rsid w:val="51DA2132"/>
    <w:rsid w:val="527C3191"/>
    <w:rsid w:val="52D553D7"/>
    <w:rsid w:val="531B7031"/>
    <w:rsid w:val="53DD6BA8"/>
    <w:rsid w:val="53F21A3F"/>
    <w:rsid w:val="54D45BD5"/>
    <w:rsid w:val="54D87562"/>
    <w:rsid w:val="558C6B14"/>
    <w:rsid w:val="55B2288E"/>
    <w:rsid w:val="55CB4852"/>
    <w:rsid w:val="575F5BDA"/>
    <w:rsid w:val="579E20B3"/>
    <w:rsid w:val="58430EF3"/>
    <w:rsid w:val="58AA41B4"/>
    <w:rsid w:val="58AF63BC"/>
    <w:rsid w:val="5991395B"/>
    <w:rsid w:val="59AC6411"/>
    <w:rsid w:val="5A22632C"/>
    <w:rsid w:val="5A851C66"/>
    <w:rsid w:val="5AB04B75"/>
    <w:rsid w:val="5B047824"/>
    <w:rsid w:val="5B494D63"/>
    <w:rsid w:val="5B9F36DE"/>
    <w:rsid w:val="5CA16867"/>
    <w:rsid w:val="5D15689C"/>
    <w:rsid w:val="5F074BD6"/>
    <w:rsid w:val="5F4C57DE"/>
    <w:rsid w:val="5F767359"/>
    <w:rsid w:val="5FA40E1A"/>
    <w:rsid w:val="5FAE6B95"/>
    <w:rsid w:val="60AD072C"/>
    <w:rsid w:val="61556B01"/>
    <w:rsid w:val="61A97E4C"/>
    <w:rsid w:val="62680D4E"/>
    <w:rsid w:val="63262D3B"/>
    <w:rsid w:val="63804CC1"/>
    <w:rsid w:val="63CA0901"/>
    <w:rsid w:val="63DC3A6F"/>
    <w:rsid w:val="64535518"/>
    <w:rsid w:val="64A47E04"/>
    <w:rsid w:val="64AE406A"/>
    <w:rsid w:val="64E61465"/>
    <w:rsid w:val="64EE5F96"/>
    <w:rsid w:val="65A60FF6"/>
    <w:rsid w:val="65EE55E1"/>
    <w:rsid w:val="67573C0D"/>
    <w:rsid w:val="67606103"/>
    <w:rsid w:val="67EB6718"/>
    <w:rsid w:val="68C7713A"/>
    <w:rsid w:val="68F242AC"/>
    <w:rsid w:val="6ABB4B62"/>
    <w:rsid w:val="6B214439"/>
    <w:rsid w:val="6B3D771E"/>
    <w:rsid w:val="6B73082E"/>
    <w:rsid w:val="6B810A29"/>
    <w:rsid w:val="6D3F3321"/>
    <w:rsid w:val="6DD00F51"/>
    <w:rsid w:val="6E05547B"/>
    <w:rsid w:val="6E130B2A"/>
    <w:rsid w:val="6E5205D8"/>
    <w:rsid w:val="6EDA2E31"/>
    <w:rsid w:val="6FC77BC7"/>
    <w:rsid w:val="70C61C0B"/>
    <w:rsid w:val="70E334F7"/>
    <w:rsid w:val="71D47169"/>
    <w:rsid w:val="720A3FB4"/>
    <w:rsid w:val="721D4149"/>
    <w:rsid w:val="72C23FBE"/>
    <w:rsid w:val="72C72C13"/>
    <w:rsid w:val="72F81C9E"/>
    <w:rsid w:val="736E3BAB"/>
    <w:rsid w:val="74336714"/>
    <w:rsid w:val="74711C2A"/>
    <w:rsid w:val="749F5ED8"/>
    <w:rsid w:val="7524428C"/>
    <w:rsid w:val="75583604"/>
    <w:rsid w:val="75A56425"/>
    <w:rsid w:val="761362F3"/>
    <w:rsid w:val="77481BE2"/>
    <w:rsid w:val="77915F20"/>
    <w:rsid w:val="78317136"/>
    <w:rsid w:val="78801057"/>
    <w:rsid w:val="79333014"/>
    <w:rsid w:val="794E2EA7"/>
    <w:rsid w:val="7A0A6456"/>
    <w:rsid w:val="7A40422D"/>
    <w:rsid w:val="7A82651F"/>
    <w:rsid w:val="7ADE0B82"/>
    <w:rsid w:val="7AED2B21"/>
    <w:rsid w:val="7B3A5C4F"/>
    <w:rsid w:val="7B787240"/>
    <w:rsid w:val="7BB41C66"/>
    <w:rsid w:val="7C605D84"/>
    <w:rsid w:val="7CB85B57"/>
    <w:rsid w:val="7CBB5016"/>
    <w:rsid w:val="7D690657"/>
    <w:rsid w:val="7DAF3E53"/>
    <w:rsid w:val="7DD51D8B"/>
    <w:rsid w:val="7E2E3893"/>
    <w:rsid w:val="7E6B6F8A"/>
    <w:rsid w:val="7EAA5819"/>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dell</cp:lastModifiedBy>
  <cp:lastPrinted>2020-05-19T03:47:00Z</cp:lastPrinted>
  <dcterms:modified xsi:type="dcterms:W3CDTF">2021-05-27T08:37:30Z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2FA87387B3584DE4B8DFC3E759CE55BB</vt:lpwstr>
  </property>
</Properties>
</file>