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襄汾县赵康镇人民政府2020</w:t>
      </w:r>
      <w:r>
        <w:rPr>
          <w:rFonts w:hint="eastAsia" w:ascii="宋体" w:hAnsi="宋体" w:eastAsia="宋体" w:cs="宋体"/>
          <w:b/>
          <w:bCs/>
          <w:kern w:val="0"/>
          <w:sz w:val="44"/>
          <w:szCs w:val="44"/>
        </w:rPr>
        <w:t>年度部门</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仿宋" w:eastAsia="仿宋_GB2312"/>
          <w:sz w:val="32"/>
          <w:szCs w:val="32"/>
        </w:rPr>
        <w:t>主要职责有：</w:t>
      </w:r>
      <w:r>
        <w:rPr>
          <w:rFonts w:hint="eastAsia" w:ascii="仿宋_GB2312" w:hAnsi="楷体" w:eastAsia="仿宋_GB2312"/>
          <w:kern w:val="0"/>
          <w:sz w:val="32"/>
          <w:szCs w:val="32"/>
        </w:rPr>
        <w:t>1、促进经济发展，增加农民收入；2、强化公共服务，着力改善民生；3、加强社会管理，维护农村稳定；4、推进基层民主，促进农村和谐。</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．根据部门职责分工，本部门内设机构包括机关办公室、民政办、城建办、信访办、企业办、计生办、统计站、经管站等机构</w:t>
      </w:r>
      <w:r>
        <w:rPr>
          <w:rFonts w:ascii="仿宋_GB2312" w:hAnsi="楷体" w:eastAsia="仿宋_GB2312"/>
          <w:kern w:val="0"/>
          <w:sz w:val="32"/>
          <w:szCs w:val="32"/>
        </w:rPr>
        <w:t xml:space="preserve"> </w:t>
      </w:r>
      <w:r>
        <w:rPr>
          <w:rFonts w:hint="eastAsia" w:ascii="仿宋_GB2312" w:hAnsi="楷体" w:eastAsia="仿宋_GB2312"/>
          <w:kern w:val="0"/>
          <w:sz w:val="32"/>
          <w:szCs w:val="32"/>
        </w:rPr>
        <w:t>。本部门下属单位包括：本部门无下属单位。</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赵康镇人民政府</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楷体" w:eastAsia="仿宋_GB2312"/>
          <w:kern w:val="0"/>
          <w:sz w:val="32"/>
          <w:szCs w:val="32"/>
          <w:lang w:eastAsia="zh-CN"/>
        </w:rPr>
        <w:t>赵康镇人民政府</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楷体" w:eastAsia="仿宋_GB2312"/>
          <w:kern w:val="0"/>
          <w:sz w:val="32"/>
          <w:szCs w:val="32"/>
          <w:lang w:eastAsia="zh-CN"/>
        </w:rPr>
        <w:t>赵康镇人民政府</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赵康镇人民政府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772.469212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2.56312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0.33</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772.469212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万元。包括：</w:t>
      </w:r>
    </w:p>
    <w:p>
      <w:pPr>
        <w:widowControl/>
        <w:spacing w:line="560" w:lineRule="exact"/>
        <w:ind w:firstLine="640"/>
        <w:rPr>
          <w:rFonts w:hint="default" w:ascii="仿宋_GB2312" w:hAnsi="楷体" w:eastAsia="仿宋_GB2312"/>
          <w:kern w:val="0"/>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772.469212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772.469212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2.56312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0.33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w:t>
      </w:r>
      <w:r>
        <w:rPr>
          <w:rFonts w:hint="eastAsia" w:ascii="仿宋_GB2312" w:hAnsi="楷体" w:eastAsia="仿宋_GB2312"/>
          <w:kern w:val="0"/>
          <w:sz w:val="32"/>
          <w:szCs w:val="32"/>
        </w:rPr>
        <w:t>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lang w:val="en-US" w:eastAsia="zh-CN"/>
        </w:rPr>
        <w:t>772.469212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409.3793</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人员经费，机关运行经费，组织事务等</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26.7639</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6.9</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49.411164</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人员离退休费，养老保险，工伤保险，失业保险及其他社会保险的补助</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none"/>
          <w:lang w:val="en-US" w:eastAsia="zh-CN"/>
        </w:rPr>
        <w:t>21.406564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30.23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养老保险财政补助比例下调。</w:t>
      </w:r>
    </w:p>
    <w:p>
      <w:pPr>
        <w:widowControl/>
        <w:spacing w:line="560" w:lineRule="exact"/>
        <w:ind w:left="160" w:leftChars="76" w:firstLine="480" w:firstLineChars="15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3.卫生健康支出16.264164万元，主要用于财政供养人员基本医疗保险及补充医疗保险的补助。与上年相比增加2.5995万元，增加</w:t>
      </w:r>
      <w:r>
        <w:rPr>
          <w:rFonts w:hint="eastAsia" w:ascii="仿宋_GB2312" w:hAnsi="楷体" w:eastAsia="仿宋_GB2312"/>
          <w:kern w:val="0"/>
          <w:sz w:val="32"/>
          <w:szCs w:val="32"/>
          <w:u w:val="none"/>
          <w:lang w:val="en-US" w:eastAsia="zh-CN"/>
        </w:rPr>
        <w:t>19.02</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主要原因是人员增加。</w:t>
      </w:r>
    </w:p>
    <w:p>
      <w:pPr>
        <w:widowControl/>
        <w:spacing w:line="560" w:lineRule="exact"/>
        <w:ind w:left="160" w:leftChars="76" w:firstLine="480" w:firstLineChars="15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城乡社区支出23.33万元，主要用于本镇辖区内环境卫生的整治。与上年相比增加0万元，增加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5.农林水支出255.5358万元，主要用于本镇辖区内各村民委员会和村党支部的运转，辖区内宽林带的占地补偿。与上年相比增加0万元，增加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6.住房保障支出18.548784万元，主要用于财政供养人员住房公积金的补助。与上年相比增加1.606284万元，增加</w:t>
      </w:r>
      <w:r>
        <w:rPr>
          <w:rFonts w:hint="eastAsia" w:ascii="仿宋_GB2312" w:hAnsi="楷体" w:eastAsia="仿宋_GB2312"/>
          <w:kern w:val="0"/>
          <w:sz w:val="32"/>
          <w:szCs w:val="32"/>
          <w:u w:val="none"/>
          <w:lang w:val="en-US" w:eastAsia="zh-CN"/>
        </w:rPr>
        <w:t>9.48</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主要原因是人员增加。</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lang w:val="en-US" w:eastAsia="zh-CN"/>
        </w:rPr>
        <w:t>375.111812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8.77472</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2.4</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人员经费增加</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397.3574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6.2116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1.5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村容村貌集体整治费减少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赵康镇人民政府</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772.469212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772.469212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赵康镇人民政府</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lang w:val="en-US" w:eastAsia="zh-CN"/>
        </w:rPr>
        <w:t>772.469212</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none"/>
          <w:lang w:val="en-US" w:eastAsia="zh-CN"/>
        </w:rPr>
        <w:t>375.111812</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48.56</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397.3574</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51.44</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赵康镇人民政府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772.469212</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none"/>
          <w:lang w:val="en-US" w:eastAsia="zh-CN"/>
        </w:rPr>
        <w:t>2.56312</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0.33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赵康镇人民政府</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772.469212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2.56312</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0.33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人员经费支出增加</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赵康镇人民政府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375.111812</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344.357812</w:t>
      </w:r>
      <w:r>
        <w:rPr>
          <w:rFonts w:hint="eastAsia" w:ascii="仿宋_GB2312" w:hAnsi="楷体" w:eastAsia="仿宋_GB2312"/>
          <w:kern w:val="0"/>
          <w:sz w:val="32"/>
          <w:szCs w:val="32"/>
        </w:rPr>
        <w:t>万元。主要包括：基本工资、津贴补贴、奖金、社会保障缴费、绩效工资、退休费、抚恤金、生活补助、奖励金、住房公积金。</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30.7540</w:t>
      </w:r>
      <w:r>
        <w:rPr>
          <w:rFonts w:hint="eastAsia" w:ascii="仿宋_GB2312" w:hAnsi="楷体" w:eastAsia="仿宋_GB2312"/>
          <w:kern w:val="0"/>
          <w:sz w:val="32"/>
          <w:szCs w:val="32"/>
        </w:rPr>
        <w:t>万元。主要包括：办公费、取</w:t>
      </w:r>
      <w:bookmarkStart w:id="0" w:name="_GoBack"/>
      <w:bookmarkEnd w:id="0"/>
      <w:r>
        <w:rPr>
          <w:rFonts w:hint="eastAsia" w:ascii="仿宋_GB2312" w:hAnsi="楷体" w:eastAsia="仿宋_GB2312"/>
          <w:kern w:val="0"/>
          <w:sz w:val="32"/>
          <w:szCs w:val="32"/>
        </w:rPr>
        <w:t>暖费、工会经费、公务用车运行维护费、其他交通费用。</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赵康镇人民政府</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2"/>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一般公共预算“三公”经费、会议费、培训费支出预算情况说明</w:t>
      </w:r>
      <w:r>
        <w:rPr>
          <w:rFonts w:hint="eastAsia" w:ascii="仿宋_GB2312" w:hAnsi="楷体" w:eastAsia="仿宋_GB2312"/>
          <w:kern w:val="0"/>
          <w:sz w:val="32"/>
          <w:szCs w:val="32"/>
          <w:lang w:eastAsia="zh-CN"/>
        </w:rPr>
        <w:t>：</w:t>
      </w:r>
    </w:p>
    <w:p>
      <w:pPr>
        <w:widowControl/>
        <w:numPr>
          <w:ilvl w:val="0"/>
          <w:numId w:val="0"/>
        </w:numPr>
        <w:spacing w:line="560" w:lineRule="exact"/>
        <w:rPr>
          <w:rFonts w:ascii="仿宋_GB2312" w:hAnsi="楷体" w:eastAsia="仿宋_GB2312"/>
          <w:kern w:val="0"/>
          <w:sz w:val="32"/>
          <w:szCs w:val="32"/>
        </w:rPr>
      </w:pP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lang w:eastAsia="zh-CN"/>
        </w:rPr>
        <w:t>赵康镇人民政府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800" w:firstLineChars="2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赵康镇人民政府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赵康镇人民政府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hint="default" w:ascii="仿宋_GB2312" w:hAnsi="楷体" w:eastAsia="仿宋_GB2312"/>
          <w:kern w:val="0"/>
          <w:sz w:val="32"/>
          <w:szCs w:val="32"/>
          <w:lang w:val="en-US" w:eastAsia="zh-CN"/>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 xml:space="preserve"> </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30.754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lang w:val="en-US" w:eastAsia="zh-CN"/>
        </w:rPr>
        <w:t>0.12</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0.39</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397.3574</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397.3574</w:t>
      </w:r>
      <w:r>
        <w:rPr>
          <w:rFonts w:hint="eastAsia" w:ascii="仿宋_GB2312" w:hAnsi="楷体" w:eastAsia="仿宋_GB2312"/>
          <w:kern w:val="0"/>
          <w:sz w:val="32"/>
          <w:szCs w:val="32"/>
        </w:rPr>
        <w:t>万元。</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楷体" w:eastAsia="仿宋_GB2312"/>
          <w:kern w:val="0"/>
          <w:sz w:val="32"/>
          <w:szCs w:val="32"/>
        </w:rPr>
        <w:t>十三、其他说明</w:t>
      </w:r>
      <w:r>
        <w:rPr>
          <w:rFonts w:hint="eastAsia" w:ascii="仿宋_GB2312" w:hAnsi="楷体"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B2999"/>
    <w:multiLevelType w:val="singleLevel"/>
    <w:tmpl w:val="B87B2999"/>
    <w:lvl w:ilvl="0" w:tentative="0">
      <w:start w:val="8"/>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BC6557"/>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14B4220"/>
    <w:rsid w:val="22461B1D"/>
    <w:rsid w:val="229A0D7C"/>
    <w:rsid w:val="22DF6CA5"/>
    <w:rsid w:val="23613E3F"/>
    <w:rsid w:val="23C10D48"/>
    <w:rsid w:val="23D52ACB"/>
    <w:rsid w:val="23F2500F"/>
    <w:rsid w:val="24D33A48"/>
    <w:rsid w:val="25E84022"/>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2F0862D3"/>
    <w:rsid w:val="30B46CA3"/>
    <w:rsid w:val="316856A6"/>
    <w:rsid w:val="31CA3EE9"/>
    <w:rsid w:val="32103D80"/>
    <w:rsid w:val="32673A99"/>
    <w:rsid w:val="32CE2438"/>
    <w:rsid w:val="34732E94"/>
    <w:rsid w:val="34C942F5"/>
    <w:rsid w:val="34DE6D61"/>
    <w:rsid w:val="35780C7F"/>
    <w:rsid w:val="36951834"/>
    <w:rsid w:val="36D55DA2"/>
    <w:rsid w:val="373B78F2"/>
    <w:rsid w:val="37ED5879"/>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1D0B9E"/>
    <w:rsid w:val="436B0382"/>
    <w:rsid w:val="44B8486B"/>
    <w:rsid w:val="45047640"/>
    <w:rsid w:val="457C07BD"/>
    <w:rsid w:val="46363FCF"/>
    <w:rsid w:val="46463CE7"/>
    <w:rsid w:val="478D7004"/>
    <w:rsid w:val="47EE3BCE"/>
    <w:rsid w:val="48882984"/>
    <w:rsid w:val="49FF0CFB"/>
    <w:rsid w:val="4AA31636"/>
    <w:rsid w:val="4B517DBB"/>
    <w:rsid w:val="4BEC58E9"/>
    <w:rsid w:val="4BF3571C"/>
    <w:rsid w:val="4CCC2331"/>
    <w:rsid w:val="4D6954BF"/>
    <w:rsid w:val="50BC7B39"/>
    <w:rsid w:val="5273052D"/>
    <w:rsid w:val="527C3191"/>
    <w:rsid w:val="53DD6BA8"/>
    <w:rsid w:val="53F21A3F"/>
    <w:rsid w:val="55B2288E"/>
    <w:rsid w:val="55CB4852"/>
    <w:rsid w:val="579E20B3"/>
    <w:rsid w:val="58430EF3"/>
    <w:rsid w:val="58AA41B4"/>
    <w:rsid w:val="59AC6411"/>
    <w:rsid w:val="5A22632C"/>
    <w:rsid w:val="5AB04B75"/>
    <w:rsid w:val="5B494D63"/>
    <w:rsid w:val="5B9F36DE"/>
    <w:rsid w:val="5BF545B9"/>
    <w:rsid w:val="5CA16867"/>
    <w:rsid w:val="5D15689C"/>
    <w:rsid w:val="5E890F45"/>
    <w:rsid w:val="5E947AD8"/>
    <w:rsid w:val="5EFD0E38"/>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8EB4260"/>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2020-05-27T02:44:01Z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