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附件1</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eastAsia="zh-CN"/>
        </w:rPr>
      </w:pPr>
      <w:r>
        <w:rPr>
          <w:rFonts w:hint="eastAsia" w:ascii="宋体" w:hAnsi="宋体" w:eastAsia="宋体" w:cs="宋体"/>
          <w:b/>
          <w:bCs/>
          <w:kern w:val="0"/>
          <w:sz w:val="44"/>
          <w:szCs w:val="44"/>
          <w:lang w:eastAsia="zh-CN"/>
        </w:rPr>
        <w:t>原襄汾县食品药品监督管理局</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2019</w:t>
      </w:r>
      <w:r>
        <w:rPr>
          <w:rFonts w:hint="eastAsia" w:ascii="宋体" w:hAnsi="宋体" w:eastAsia="宋体" w:cs="宋体"/>
          <w:b/>
          <w:bCs/>
          <w:kern w:val="0"/>
          <w:sz w:val="44"/>
          <w:szCs w:val="44"/>
        </w:rPr>
        <w:t>年度部门预算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一、本部门职责</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原襄汾县食品药品监督管理局主要职责：</w:t>
      </w:r>
      <w:bookmarkStart w:id="0" w:name="_GoBack"/>
      <w:bookmarkEnd w:id="0"/>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一）监督实施国家有关食品生产、流通、药品、医疗器械、保健食品、化妆品和餐饮服务食品安全监督管理的法律法规、规章和相关政策；参与制定相关政策、工作规划并监督实施。组织开展食品生产、流通、餐饮服务、保健食品、化妆品、药品和医疗器械行政执法。</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（二）负责辖区内流通许可、餐饮服务许可及其安全监督管理。</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（三）监督实施餐饮服务食品安全管理规范；开展餐饮服务食品安全状况调查和监测工作，发布与餐饮服务食品安全监管有关的信息。</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（四）负责保健食品的监督管理。监督实施保健食品、化妆品卫生标准和技术规范。</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五）负责对药品的行政监督和技术监督；负责对医疗器械的行政监督；负责对餐饮业服务食品、保健食品、化妆品的监督抽验工作；监督实施药品和医疗器械研制、生产、经营、流通、使用方面的质量管理规范。</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（六）监督实施国家食品、药品、医疗器械标准；监督实施药品、医疗器械分类管理制度；负责全县药品不良反应、医疗器械不良事件的监测工作。</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（七）对药品零售企业开办资格进行初审。</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（八）监督实施中药、民族药监督管理规范和中药材生产质量管理规范；监督实施中药饮片炮制规范；监督实施中药品种保护制度。</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（九）监督管理药品、医疗器械质量安全，监督管理麻醉药品、精神药品、医疗用毒性药品和放射性药品。发布本县药品、医疗器械质量安全信息。</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（十）依法查处食品、药品、医疗器械、化妆品等研制、生产、流通、使用和餐饮服务食品及保健食品安全方面的违法行为。</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（十一）承担辖区内的餐饮服务、保健食品、化妆品、药品和医疗器械有关方面的监督管理、应急处置、稽查和信息化建设工作。</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（十二）开展与食品药品监督管理有关的对外交流与合作。</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（十三）承办县人民政府交办的其他事项。</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（十四）承办县食品安全委员会办公室日常工作。</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cstheme="minorBidi"/>
          <w:kern w:val="0"/>
          <w:sz w:val="32"/>
          <w:szCs w:val="32"/>
          <w:lang w:val="en-US" w:eastAsia="zh-CN" w:bidi="ar-SA"/>
        </w:rPr>
      </w:pPr>
      <w:r>
        <w:rPr>
          <w:rFonts w:hint="eastAsia" w:ascii="仿宋_GB2312" w:hAnsi="楷体" w:eastAsia="仿宋_GB2312" w:cstheme="minorBidi"/>
          <w:kern w:val="0"/>
          <w:sz w:val="32"/>
          <w:szCs w:val="32"/>
          <w:lang w:val="en-US" w:eastAsia="zh-CN" w:bidi="ar-SA"/>
        </w:rPr>
        <w:t>（十五）承办县人民政府和县食品安全委员会交办的其他事项。</w:t>
      </w:r>
    </w:p>
    <w:p>
      <w:pPr>
        <w:pStyle w:val="4"/>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495" w:lineRule="atLeast"/>
        <w:ind w:left="0" w:firstLine="375"/>
        <w:textAlignment w:val="auto"/>
        <w:rPr>
          <w:rFonts w:hint="eastAsia" w:ascii="仿宋_GB2312" w:hAnsi="楷体" w:eastAsia="仿宋_GB2312"/>
          <w:kern w:val="0"/>
          <w:sz w:val="32"/>
          <w:szCs w:val="32"/>
        </w:rPr>
      </w:pPr>
      <w:r>
        <w:rPr>
          <w:rFonts w:hint="eastAsia" w:ascii="仿宋_GB2312" w:hAnsi="楷体" w:eastAsia="仿宋_GB2312" w:cstheme="minorBidi"/>
          <w:kern w:val="0"/>
          <w:sz w:val="32"/>
          <w:szCs w:val="32"/>
          <w:lang w:val="en-US" w:eastAsia="zh-CN" w:bidi="ar-SA"/>
        </w:rPr>
        <w:t>（十六）指导基层食品药品监督管理工作，规范行政执法行为，完善行政执法与刑事司法衔接机制。</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机构设置情况</w:t>
      </w:r>
    </w:p>
    <w:p>
      <w:pPr>
        <w:widowControl/>
        <w:numPr>
          <w:ilvl w:val="0"/>
          <w:numId w:val="0"/>
        </w:numPr>
        <w:spacing w:line="560" w:lineRule="exact"/>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 xml:space="preserve">   按照国家食品药品机构改革方案的要求，2013年12月， 县政府核定县食药监局编制105名，其中行政编制15名，工勤编制1名，财政拨款事业编制89名。县食品药品监督管理局内设办公室、综合协调股（承担县食品安全委员会办公室日常工作）、食品监管一股、食品监管二股、药品管理股，下属事业单位一个：食品药品稽查队（县食品药品投诉举报中心），基层食品药品监督管理站14个。</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2019</w:t>
      </w:r>
      <w:r>
        <w:rPr>
          <w:rFonts w:hint="eastAsia" w:ascii="黑体" w:hAnsi="Times New Roman" w:eastAsia="黑体"/>
          <w:kern w:val="0"/>
          <w:sz w:val="32"/>
          <w:szCs w:val="32"/>
        </w:rPr>
        <w:t>年度部门预算报表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w:t>
      </w:r>
      <w:r>
        <w:rPr>
          <w:rFonts w:hint="eastAsia" w:ascii="仿宋_GB2312" w:hAnsi="宋体" w:eastAsia="仿宋_GB2312" w:cs="Times New Roman"/>
          <w:sz w:val="32"/>
          <w:szCs w:val="32"/>
          <w:lang w:eastAsia="zh-CN"/>
        </w:rPr>
        <w:t>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2019年机关运行经费</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十一、</w:t>
      </w:r>
      <w:r>
        <w:rPr>
          <w:rFonts w:hint="eastAsia" w:ascii="仿宋_GB2312" w:hAnsi="宋体" w:eastAsia="仿宋_GB2312" w:cs="Times New Roman"/>
          <w:sz w:val="32"/>
          <w:szCs w:val="32"/>
          <w:lang w:val="en-US" w:eastAsia="zh-CN"/>
        </w:rPr>
        <w:t>襄汾县食品药品监督管理局</w:t>
      </w:r>
      <w:r>
        <w:rPr>
          <w:rFonts w:hint="eastAsia" w:ascii="仿宋_GB2312" w:hAnsi="宋体" w:eastAsia="仿宋_GB2312" w:cs="Times New Roman"/>
          <w:sz w:val="32"/>
          <w:szCs w:val="32"/>
        </w:rPr>
        <w:t>2019年项目支出绩效目标表</w:t>
      </w:r>
    </w:p>
    <w:p>
      <w:pPr>
        <w:spacing w:line="560" w:lineRule="exact"/>
        <w:ind w:firstLine="640" w:firstLineChars="200"/>
        <w:rPr>
          <w:rFonts w:hint="default" w:ascii="仿宋_GB2312" w:hAnsi="宋体" w:eastAsia="仿宋_GB2312" w:cs="Times New Roman"/>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2019</w:t>
      </w:r>
      <w:r>
        <w:rPr>
          <w:rFonts w:hint="eastAsia" w:ascii="黑体" w:hAnsi="Times New Roman" w:eastAsia="黑体"/>
          <w:kern w:val="0"/>
          <w:sz w:val="32"/>
          <w:szCs w:val="32"/>
        </w:rPr>
        <w:t>年度部门预算情况说明</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一、</w:t>
      </w:r>
      <w:r>
        <w:rPr>
          <w:rFonts w:hint="eastAsia" w:ascii="仿宋_GB2312" w:hAnsi="楷体" w:eastAsia="仿宋_GB2312"/>
          <w:kern w:val="0"/>
          <w:sz w:val="32"/>
          <w:szCs w:val="32"/>
          <w:lang w:eastAsia="zh-CN"/>
        </w:rPr>
        <w:t>2019</w:t>
      </w:r>
      <w:r>
        <w:rPr>
          <w:rFonts w:hint="eastAsia" w:ascii="仿宋_GB2312" w:hAnsi="楷体" w:eastAsia="仿宋_GB2312"/>
          <w:kern w:val="0"/>
          <w:sz w:val="32"/>
          <w:szCs w:val="32"/>
        </w:rPr>
        <w:t>年度部门预算数据变动情况及原因</w:t>
      </w:r>
    </w:p>
    <w:p>
      <w:pPr>
        <w:widowControl/>
        <w:spacing w:line="560" w:lineRule="exact"/>
        <w:ind w:firstLine="636"/>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变动情况：基本支出826.714428万元，比2018年减少34.679045万元，项目支出2019年150.716万元，比2018年减少29.7万元；</w:t>
      </w:r>
    </w:p>
    <w:p>
      <w:pPr>
        <w:widowControl/>
        <w:spacing w:line="560" w:lineRule="exact"/>
        <w:ind w:firstLine="636"/>
        <w:rPr>
          <w:rFonts w:hint="default" w:ascii="仿宋_GB2312" w:hAnsi="楷体" w:eastAsia="仿宋_GB2312"/>
          <w:kern w:val="0"/>
          <w:sz w:val="32"/>
          <w:szCs w:val="32"/>
          <w:lang w:val="en-US" w:eastAsia="zh-CN"/>
        </w:rPr>
      </w:pPr>
      <w:r>
        <w:rPr>
          <w:rFonts w:hint="eastAsia" w:ascii="仿宋_GB2312" w:hAnsi="楷体" w:eastAsia="仿宋_GB2312"/>
          <w:kern w:val="0"/>
          <w:sz w:val="32"/>
          <w:szCs w:val="32"/>
          <w:lang w:val="en-US" w:eastAsia="zh-CN"/>
        </w:rPr>
        <w:t>变动原因：调出7人，食品药品检验费预算减少。</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二、“三公”经费增减变动原因说明</w:t>
      </w:r>
    </w:p>
    <w:p>
      <w:pPr>
        <w:keepNext w:val="0"/>
        <w:keepLines w:val="0"/>
        <w:pageBreakBefore w:val="0"/>
        <w:widowControl/>
        <w:kinsoku/>
        <w:wordWrap/>
        <w:overflowPunct/>
        <w:topLinePunct w:val="0"/>
        <w:autoSpaceDE/>
        <w:autoSpaceDN/>
        <w:bidi w:val="0"/>
        <w:adjustRightInd/>
        <w:snapToGrid/>
        <w:spacing w:line="560" w:lineRule="exact"/>
        <w:ind w:firstLine="1134"/>
        <w:textAlignment w:val="auto"/>
        <w:rPr>
          <w:rFonts w:hint="eastAsia" w:ascii="仿宋_GB2312" w:eastAsia="仿宋_GB2312"/>
          <w:sz w:val="32"/>
          <w:szCs w:val="32"/>
        </w:rPr>
      </w:pPr>
      <w:r>
        <w:rPr>
          <w:rFonts w:hint="eastAsia" w:ascii="仿宋_GB2312" w:eastAsia="仿宋_GB2312"/>
          <w:sz w:val="32"/>
          <w:szCs w:val="32"/>
          <w:lang w:eastAsia="zh-CN"/>
        </w:rPr>
        <w:t>2019</w:t>
      </w:r>
      <w:r>
        <w:rPr>
          <w:rFonts w:hint="eastAsia" w:ascii="仿宋_GB2312" w:eastAsia="仿宋_GB2312"/>
          <w:sz w:val="32"/>
          <w:szCs w:val="32"/>
        </w:rPr>
        <w:t>年一般公共预算安排的“三公”经费预算</w:t>
      </w:r>
      <w:r>
        <w:rPr>
          <w:rFonts w:hint="eastAsia" w:ascii="仿宋" w:hAnsi="仿宋" w:eastAsia="仿宋"/>
          <w:sz w:val="32"/>
          <w:szCs w:val="32"/>
          <w:lang w:val="en-US" w:eastAsia="zh-CN"/>
        </w:rPr>
        <w:t>29</w:t>
      </w:r>
      <w:r>
        <w:rPr>
          <w:rFonts w:hint="eastAsia" w:ascii="仿宋_GB2312" w:eastAsia="仿宋_GB2312"/>
          <w:sz w:val="32"/>
          <w:szCs w:val="32"/>
        </w:rPr>
        <w:t>万元，比</w:t>
      </w:r>
      <w:r>
        <w:rPr>
          <w:rFonts w:hint="eastAsia" w:ascii="仿宋_GB2312" w:eastAsia="仿宋_GB2312"/>
          <w:sz w:val="32"/>
          <w:szCs w:val="32"/>
          <w:lang w:eastAsia="zh-CN"/>
        </w:rPr>
        <w:t>2018</w:t>
      </w:r>
      <w:r>
        <w:rPr>
          <w:rFonts w:hint="eastAsia" w:ascii="仿宋_GB2312" w:eastAsia="仿宋_GB2312"/>
          <w:sz w:val="32"/>
          <w:szCs w:val="32"/>
        </w:rPr>
        <w:t>年减少</w:t>
      </w:r>
      <w:r>
        <w:rPr>
          <w:rFonts w:hint="eastAsia" w:ascii="仿宋" w:hAnsi="仿宋" w:eastAsia="仿宋"/>
          <w:sz w:val="32"/>
          <w:szCs w:val="32"/>
          <w:lang w:val="en-US" w:eastAsia="zh-CN"/>
        </w:rPr>
        <w:t>7.1</w:t>
      </w:r>
      <w:r>
        <w:rPr>
          <w:rFonts w:hint="eastAsia" w:ascii="仿宋_GB2312" w:eastAsia="仿宋_GB2312"/>
          <w:sz w:val="32"/>
          <w:szCs w:val="32"/>
        </w:rPr>
        <w:t>万元，原因是</w:t>
      </w:r>
      <w:r>
        <w:rPr>
          <w:rFonts w:hint="eastAsia" w:ascii="仿宋_GB2312" w:eastAsia="仿宋_GB2312"/>
          <w:sz w:val="32"/>
          <w:szCs w:val="32"/>
          <w:lang w:eastAsia="zh-CN"/>
        </w:rPr>
        <w:t>事业公车改革减少</w:t>
      </w:r>
      <w:r>
        <w:rPr>
          <w:rFonts w:hint="eastAsia" w:ascii="仿宋_GB2312" w:eastAsia="仿宋_GB2312"/>
          <w:sz w:val="32"/>
          <w:szCs w:val="32"/>
          <w:lang w:val="en-US" w:eastAsia="zh-CN"/>
        </w:rPr>
        <w:t>5辆车</w:t>
      </w:r>
      <w:r>
        <w:rPr>
          <w:rFonts w:hint="eastAsia" w:ascii="仿宋_GB2312" w:eastAsia="仿宋_GB2312"/>
          <w:sz w:val="32"/>
          <w:szCs w:val="32"/>
        </w:rPr>
        <w:t>。其中：公务用车运行维护费</w:t>
      </w:r>
      <w:r>
        <w:rPr>
          <w:rFonts w:hint="eastAsia" w:ascii="仿宋" w:hAnsi="仿宋" w:eastAsia="仿宋"/>
          <w:sz w:val="32"/>
          <w:szCs w:val="32"/>
          <w:lang w:val="en-US" w:eastAsia="zh-CN"/>
        </w:rPr>
        <w:t>29</w:t>
      </w:r>
      <w:r>
        <w:rPr>
          <w:rFonts w:hint="eastAsia" w:ascii="仿宋_GB2312" w:eastAsia="仿宋_GB2312"/>
          <w:sz w:val="32"/>
          <w:szCs w:val="32"/>
        </w:rPr>
        <w:t>万元，比上年减少</w:t>
      </w:r>
      <w:r>
        <w:rPr>
          <w:rFonts w:hint="eastAsia" w:ascii="仿宋_GB2312" w:eastAsia="仿宋_GB2312"/>
          <w:sz w:val="32"/>
          <w:szCs w:val="32"/>
          <w:lang w:val="en-US" w:eastAsia="zh-CN"/>
        </w:rPr>
        <w:t>7.1</w:t>
      </w:r>
      <w:r>
        <w:rPr>
          <w:rFonts w:hint="eastAsia" w:ascii="仿宋_GB2312" w:eastAsia="仿宋_GB2312"/>
          <w:sz w:val="32"/>
          <w:szCs w:val="32"/>
        </w:rPr>
        <w:t>万元；</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_GB2312" w:hAnsi="楷体" w:eastAsia="仿宋_GB2312"/>
          <w:kern w:val="0"/>
          <w:sz w:val="32"/>
          <w:szCs w:val="32"/>
        </w:rPr>
      </w:pPr>
      <w:r>
        <w:rPr>
          <w:rFonts w:hint="eastAsia" w:ascii="仿宋_GB2312" w:hAnsi="楷体" w:eastAsia="仿宋_GB2312"/>
          <w:kern w:val="0"/>
          <w:sz w:val="32"/>
          <w:szCs w:val="32"/>
        </w:rPr>
        <w:t>三、机关运行经费增减变动原因说明</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lang w:eastAsia="zh-CN"/>
        </w:rPr>
        <w:t>襄汾县食品药品监督管理局2019</w:t>
      </w:r>
      <w:r>
        <w:rPr>
          <w:rFonts w:hint="eastAsia" w:ascii="仿宋_GB2312" w:hAnsi="仿宋" w:eastAsia="仿宋_GB2312"/>
          <w:kern w:val="0"/>
          <w:sz w:val="32"/>
          <w:szCs w:val="32"/>
        </w:rPr>
        <w:t>年机关运行经费财政拨款预算</w:t>
      </w:r>
      <w:r>
        <w:rPr>
          <w:rFonts w:hint="eastAsia" w:ascii="仿宋_GB2312" w:hAnsi="仿宋" w:eastAsia="仿宋_GB2312"/>
          <w:kern w:val="0"/>
          <w:sz w:val="32"/>
          <w:szCs w:val="32"/>
          <w:lang w:val="en-US" w:eastAsia="zh-CN"/>
        </w:rPr>
        <w:t>22.6258</w:t>
      </w:r>
      <w:r>
        <w:rPr>
          <w:rFonts w:hint="eastAsia" w:ascii="仿宋_GB2312" w:hAnsi="仿宋" w:eastAsia="仿宋_GB2312"/>
          <w:kern w:val="0"/>
          <w:sz w:val="32"/>
          <w:szCs w:val="32"/>
        </w:rPr>
        <w:t>万元，比</w:t>
      </w:r>
      <w:r>
        <w:rPr>
          <w:rFonts w:hint="eastAsia" w:ascii="仿宋_GB2312" w:hAnsi="仿宋" w:eastAsia="仿宋_GB2312"/>
          <w:kern w:val="0"/>
          <w:sz w:val="32"/>
          <w:szCs w:val="32"/>
          <w:lang w:eastAsia="zh-CN"/>
        </w:rPr>
        <w:t>2018</w:t>
      </w:r>
      <w:r>
        <w:rPr>
          <w:rFonts w:hint="eastAsia" w:ascii="仿宋_GB2312" w:hAnsi="仿宋" w:eastAsia="仿宋_GB2312"/>
          <w:kern w:val="0"/>
          <w:sz w:val="32"/>
          <w:szCs w:val="32"/>
        </w:rPr>
        <w:t>年预算减少</w:t>
      </w:r>
      <w:r>
        <w:rPr>
          <w:rFonts w:hint="eastAsia" w:ascii="仿宋_GB2312" w:hAnsi="仿宋" w:eastAsia="仿宋_GB2312"/>
          <w:kern w:val="0"/>
          <w:sz w:val="32"/>
          <w:szCs w:val="32"/>
          <w:lang w:val="en-US" w:eastAsia="zh-CN"/>
        </w:rPr>
        <w:t>3.5</w:t>
      </w:r>
      <w:r>
        <w:rPr>
          <w:rFonts w:hint="eastAsia" w:ascii="仿宋_GB2312" w:hAnsi="仿宋" w:eastAsia="仿宋_GB2312"/>
          <w:kern w:val="0"/>
          <w:sz w:val="32"/>
          <w:szCs w:val="32"/>
        </w:rPr>
        <w:t>万元，下降</w:t>
      </w:r>
      <w:r>
        <w:rPr>
          <w:rFonts w:hint="eastAsia" w:ascii="仿宋_GB2312" w:hAnsi="仿宋" w:eastAsia="仿宋_GB2312"/>
          <w:kern w:val="0"/>
          <w:sz w:val="32"/>
          <w:szCs w:val="32"/>
          <w:lang w:val="en-US" w:eastAsia="zh-CN"/>
        </w:rPr>
        <w:t>13.46</w:t>
      </w:r>
      <w:r>
        <w:rPr>
          <w:rFonts w:hint="eastAsia" w:ascii="仿宋_GB2312" w:hAnsi="仿宋" w:eastAsia="仿宋_GB2312"/>
          <w:kern w:val="0"/>
          <w:sz w:val="32"/>
          <w:szCs w:val="32"/>
        </w:rPr>
        <w:t>%,原因是</w:t>
      </w:r>
      <w:r>
        <w:rPr>
          <w:rFonts w:hint="eastAsia" w:ascii="仿宋_GB2312" w:hAnsi="仿宋" w:eastAsia="仿宋_GB2312"/>
          <w:kern w:val="0"/>
          <w:sz w:val="32"/>
          <w:szCs w:val="32"/>
          <w:lang w:eastAsia="zh-CN"/>
        </w:rPr>
        <w:t>调出</w:t>
      </w:r>
      <w:r>
        <w:rPr>
          <w:rFonts w:hint="eastAsia" w:ascii="仿宋_GB2312" w:hAnsi="仿宋" w:eastAsia="仿宋_GB2312"/>
          <w:kern w:val="0"/>
          <w:sz w:val="32"/>
          <w:szCs w:val="32"/>
          <w:lang w:val="en-US" w:eastAsia="zh-CN"/>
        </w:rPr>
        <w:t>7人</w:t>
      </w:r>
      <w:r>
        <w:rPr>
          <w:rFonts w:hint="eastAsia" w:ascii="仿宋_GB2312" w:hAnsi="仿宋" w:eastAsia="仿宋_GB2312"/>
          <w:kern w:val="0"/>
          <w:sz w:val="32"/>
          <w:szCs w:val="32"/>
        </w:rPr>
        <w:t>。</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四、政府采购情况</w:t>
      </w:r>
    </w:p>
    <w:p>
      <w:pPr>
        <w:widowControl/>
        <w:spacing w:line="560" w:lineRule="exact"/>
        <w:ind w:firstLine="636"/>
        <w:rPr>
          <w:rFonts w:hint="eastAsia" w:ascii="仿宋" w:hAnsi="仿宋" w:eastAsia="仿宋"/>
          <w:sz w:val="32"/>
          <w:szCs w:val="32"/>
          <w:lang w:val="en-US" w:eastAsia="zh-CN"/>
        </w:rPr>
      </w:pPr>
      <w:r>
        <w:rPr>
          <w:rFonts w:hint="eastAsia" w:ascii="仿宋_GB2312" w:hAnsi="仿宋" w:eastAsia="仿宋_GB2312"/>
          <w:kern w:val="0"/>
          <w:sz w:val="32"/>
          <w:szCs w:val="32"/>
          <w:lang w:eastAsia="zh-CN"/>
        </w:rPr>
        <w:t>2019</w:t>
      </w:r>
      <w:r>
        <w:rPr>
          <w:rFonts w:hint="eastAsia" w:ascii="仿宋_GB2312" w:hAnsi="仿宋" w:eastAsia="仿宋_GB2312"/>
          <w:kern w:val="0"/>
          <w:sz w:val="32"/>
          <w:szCs w:val="32"/>
        </w:rPr>
        <w:t>年</w:t>
      </w:r>
      <w:r>
        <w:rPr>
          <w:rFonts w:hint="eastAsia" w:ascii="仿宋_GB2312" w:hAnsi="仿宋" w:eastAsia="仿宋_GB2312"/>
          <w:kern w:val="0"/>
          <w:sz w:val="32"/>
          <w:szCs w:val="32"/>
          <w:lang w:eastAsia="zh-CN"/>
        </w:rPr>
        <w:t>襄汾县食品药品监督管理局</w:t>
      </w:r>
      <w:r>
        <w:rPr>
          <w:rFonts w:hint="eastAsia" w:ascii="仿宋_GB2312" w:hAnsi="仿宋" w:eastAsia="仿宋_GB2312"/>
          <w:kern w:val="0"/>
          <w:sz w:val="32"/>
          <w:szCs w:val="32"/>
        </w:rPr>
        <w:t>各单位政府采购预算总额</w:t>
      </w:r>
      <w:r>
        <w:rPr>
          <w:rFonts w:hint="eastAsia" w:ascii="仿宋_GB2312" w:hAnsi="仿宋" w:eastAsia="仿宋_GB2312"/>
          <w:kern w:val="0"/>
          <w:sz w:val="32"/>
          <w:szCs w:val="32"/>
          <w:lang w:val="en-US" w:eastAsia="zh-CN"/>
        </w:rPr>
        <w:t>90</w:t>
      </w:r>
      <w:r>
        <w:rPr>
          <w:rFonts w:hint="eastAsia" w:ascii="仿宋_GB2312" w:hAnsi="仿宋" w:eastAsia="仿宋_GB2312"/>
          <w:kern w:val="0"/>
          <w:sz w:val="32"/>
          <w:szCs w:val="32"/>
        </w:rPr>
        <w:t>万元，其中：政府采购货物预算</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万元、政府采购工程预算</w:t>
      </w:r>
      <w:r>
        <w:rPr>
          <w:rFonts w:hint="eastAsia" w:ascii="仿宋_GB2312" w:hAnsi="仿宋" w:eastAsia="仿宋_GB2312"/>
          <w:kern w:val="0"/>
          <w:sz w:val="32"/>
          <w:szCs w:val="32"/>
          <w:lang w:val="en-US" w:eastAsia="zh-CN"/>
        </w:rPr>
        <w:t>0</w:t>
      </w:r>
      <w:r>
        <w:rPr>
          <w:rFonts w:hint="eastAsia" w:ascii="仿宋_GB2312" w:hAnsi="仿宋" w:eastAsia="仿宋_GB2312"/>
          <w:kern w:val="0"/>
          <w:sz w:val="32"/>
          <w:szCs w:val="32"/>
        </w:rPr>
        <w:t>万元、政府采购服务预算</w:t>
      </w:r>
      <w:r>
        <w:rPr>
          <w:rFonts w:hint="eastAsia" w:ascii="仿宋_GB2312" w:hAnsi="仿宋" w:eastAsia="仿宋_GB2312"/>
          <w:kern w:val="0"/>
          <w:sz w:val="32"/>
          <w:szCs w:val="32"/>
          <w:lang w:val="en-US" w:eastAsia="zh-CN"/>
        </w:rPr>
        <w:t>90</w:t>
      </w:r>
      <w:r>
        <w:rPr>
          <w:rFonts w:hint="eastAsia" w:ascii="仿宋_GB2312" w:hAnsi="仿宋" w:eastAsia="仿宋_GB2312"/>
          <w:kern w:val="0"/>
          <w:sz w:val="32"/>
          <w:szCs w:val="32"/>
        </w:rPr>
        <w:t>万元。</w:t>
      </w:r>
    </w:p>
    <w:p>
      <w:pPr>
        <w:widowControl/>
        <w:spacing w:line="560" w:lineRule="exact"/>
        <w:ind w:firstLine="636"/>
        <w:rPr>
          <w:rFonts w:hint="eastAsia" w:ascii="仿宋_GB2312" w:hAnsi="仿宋" w:eastAsia="仿宋_GB2312"/>
          <w:kern w:val="0"/>
          <w:sz w:val="32"/>
          <w:szCs w:val="32"/>
        </w:rPr>
      </w:pPr>
      <w:r>
        <w:rPr>
          <w:rFonts w:hint="eastAsia" w:ascii="仿宋_GB2312" w:hAnsi="楷体" w:eastAsia="仿宋_GB2312"/>
          <w:kern w:val="0"/>
          <w:sz w:val="32"/>
          <w:szCs w:val="32"/>
        </w:rPr>
        <w:t>五、</w:t>
      </w:r>
      <w:r>
        <w:rPr>
          <w:rFonts w:hint="eastAsia" w:ascii="仿宋_GB2312" w:hAnsi="仿宋" w:eastAsia="仿宋_GB2312"/>
          <w:kern w:val="0"/>
          <w:sz w:val="32"/>
          <w:szCs w:val="32"/>
        </w:rPr>
        <w:t>绩效管理情况</w:t>
      </w:r>
    </w:p>
    <w:p>
      <w:pPr>
        <w:widowControl/>
        <w:spacing w:line="560" w:lineRule="exact"/>
        <w:ind w:firstLine="636"/>
        <w:rPr>
          <w:rFonts w:hint="eastAsia" w:ascii="仿宋_GB2312" w:hAnsi="楷体" w:eastAsia="仿宋_GB2312"/>
          <w:kern w:val="0"/>
          <w:sz w:val="32"/>
          <w:szCs w:val="32"/>
        </w:rPr>
      </w:pPr>
      <w:r>
        <w:rPr>
          <w:rFonts w:hint="eastAsia" w:ascii="仿宋_GB2312" w:hAnsi="仿宋" w:eastAsia="仿宋_GB2312"/>
          <w:kern w:val="0"/>
          <w:sz w:val="32"/>
          <w:szCs w:val="32"/>
          <w:lang w:eastAsia="zh-CN"/>
        </w:rPr>
        <w:t>2019</w:t>
      </w:r>
      <w:r>
        <w:rPr>
          <w:rFonts w:hint="eastAsia" w:ascii="仿宋_GB2312" w:hAnsi="仿宋" w:eastAsia="仿宋_GB2312"/>
          <w:kern w:val="0"/>
          <w:sz w:val="32"/>
          <w:szCs w:val="32"/>
        </w:rPr>
        <w:t>年</w:t>
      </w:r>
      <w:r>
        <w:rPr>
          <w:rFonts w:hint="eastAsia" w:ascii="仿宋_GB2312" w:hAnsi="仿宋" w:eastAsia="仿宋_GB2312"/>
          <w:kern w:val="0"/>
          <w:sz w:val="32"/>
          <w:szCs w:val="32"/>
          <w:lang w:eastAsia="zh-CN"/>
        </w:rPr>
        <w:t>襄汾县食品药品监督管理局</w:t>
      </w:r>
      <w:r>
        <w:rPr>
          <w:rFonts w:hint="eastAsia" w:ascii="仿宋_GB2312" w:hAnsi="仿宋" w:eastAsia="仿宋_GB2312"/>
          <w:kern w:val="0"/>
          <w:sz w:val="32"/>
          <w:szCs w:val="32"/>
        </w:rPr>
        <w:t>实行绩效目标管理的项目</w:t>
      </w:r>
      <w:r>
        <w:rPr>
          <w:rFonts w:hint="eastAsia" w:ascii="仿宋_GB2312" w:hAnsi="仿宋" w:eastAsia="仿宋_GB2312"/>
          <w:kern w:val="0"/>
          <w:sz w:val="32"/>
          <w:szCs w:val="32"/>
          <w:lang w:val="en-US" w:eastAsia="zh-CN"/>
        </w:rPr>
        <w:t>7</w:t>
      </w:r>
      <w:r>
        <w:rPr>
          <w:rFonts w:hint="eastAsia" w:ascii="仿宋_GB2312" w:hAnsi="仿宋" w:eastAsia="仿宋_GB2312"/>
          <w:kern w:val="0"/>
          <w:sz w:val="32"/>
          <w:szCs w:val="32"/>
        </w:rPr>
        <w:t>个。</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六、其他说明（参考模板，各单位可根据本单位实际情况进行修改和完善）</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（一）政府购买服务指导性目录</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（二）国有资产占有使用情况</w:t>
      </w:r>
    </w:p>
    <w:p>
      <w:pPr>
        <w:widowControl/>
        <w:spacing w:line="560" w:lineRule="exact"/>
        <w:ind w:firstLine="636"/>
        <w:rPr>
          <w:rFonts w:hint="eastAsia" w:ascii="仿宋_GB2312" w:hAnsi="仿宋" w:eastAsia="仿宋_GB2312"/>
          <w:kern w:val="0"/>
          <w:sz w:val="32"/>
          <w:szCs w:val="32"/>
          <w:lang w:val="en-US" w:eastAsia="zh-CN"/>
        </w:rPr>
      </w:pPr>
      <w:r>
        <w:rPr>
          <w:rFonts w:hint="eastAsia" w:ascii="仿宋_GB2312" w:hAnsi="仿宋" w:eastAsia="仿宋_GB2312"/>
          <w:kern w:val="0"/>
          <w:sz w:val="32"/>
          <w:szCs w:val="32"/>
        </w:rPr>
        <w:t>1.车辆情况</w:t>
      </w:r>
      <w:r>
        <w:rPr>
          <w:rFonts w:hint="eastAsia" w:ascii="仿宋_GB2312" w:hAnsi="仿宋" w:eastAsia="仿宋_GB2312"/>
          <w:kern w:val="0"/>
          <w:sz w:val="32"/>
          <w:szCs w:val="32"/>
          <w:lang w:eastAsia="zh-CN"/>
        </w:rPr>
        <w:t>：</w:t>
      </w:r>
      <w:r>
        <w:rPr>
          <w:rFonts w:hint="eastAsia" w:ascii="仿宋_GB2312" w:hAnsi="仿宋" w:eastAsia="仿宋_GB2312"/>
          <w:kern w:val="0"/>
          <w:sz w:val="32"/>
          <w:szCs w:val="32"/>
          <w:lang w:val="en-US" w:eastAsia="zh-CN"/>
        </w:rPr>
        <w:t>执法车15辆，食品快检车1辆；</w:t>
      </w:r>
    </w:p>
    <w:p>
      <w:pPr>
        <w:widowControl/>
        <w:spacing w:line="560" w:lineRule="exact"/>
        <w:ind w:firstLine="636"/>
        <w:rPr>
          <w:rFonts w:hint="default" w:ascii="仿宋_GB2312" w:hAnsi="仿宋" w:eastAsia="仿宋_GB2312"/>
          <w:kern w:val="0"/>
          <w:sz w:val="32"/>
          <w:szCs w:val="32"/>
          <w:lang w:val="en-US" w:eastAsia="zh-CN"/>
        </w:rPr>
      </w:pPr>
      <w:r>
        <w:rPr>
          <w:rFonts w:hint="eastAsia" w:ascii="仿宋_GB2312" w:hAnsi="仿宋" w:eastAsia="仿宋_GB2312"/>
          <w:kern w:val="0"/>
          <w:sz w:val="32"/>
          <w:szCs w:val="32"/>
        </w:rPr>
        <w:t>2.房屋情况</w:t>
      </w:r>
      <w:r>
        <w:rPr>
          <w:rFonts w:hint="eastAsia" w:ascii="仿宋_GB2312" w:hAnsi="仿宋" w:eastAsia="仿宋_GB2312"/>
          <w:kern w:val="0"/>
          <w:sz w:val="32"/>
          <w:szCs w:val="32"/>
          <w:lang w:eastAsia="zh-CN"/>
        </w:rPr>
        <w:t>：无</w:t>
      </w:r>
    </w:p>
    <w:p>
      <w:pPr>
        <w:widowControl/>
        <w:spacing w:line="560" w:lineRule="exact"/>
        <w:ind w:firstLine="636"/>
        <w:rPr>
          <w:rFonts w:hint="default" w:ascii="仿宋_GB2312" w:hAnsi="仿宋" w:eastAsia="仿宋_GB2312"/>
          <w:kern w:val="0"/>
          <w:sz w:val="32"/>
          <w:szCs w:val="32"/>
          <w:lang w:val="en-US" w:eastAsia="zh-CN"/>
        </w:rPr>
      </w:pPr>
      <w:r>
        <w:rPr>
          <w:rFonts w:hint="eastAsia" w:ascii="仿宋_GB2312" w:hAnsi="仿宋" w:eastAsia="仿宋_GB2312"/>
          <w:kern w:val="0"/>
          <w:sz w:val="32"/>
          <w:szCs w:val="32"/>
        </w:rPr>
        <w:t>（三）其他</w:t>
      </w:r>
      <w:r>
        <w:rPr>
          <w:rFonts w:hint="eastAsia" w:ascii="仿宋_GB2312" w:hAnsi="仿宋" w:eastAsia="仿宋_GB2312"/>
          <w:kern w:val="0"/>
          <w:sz w:val="32"/>
          <w:szCs w:val="32"/>
          <w:lang w:eastAsia="zh-CN"/>
        </w:rPr>
        <w:t>：无</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（一）基本支出</w:t>
      </w:r>
      <w:r>
        <w:rPr>
          <w:rFonts w:hint="eastAsia" w:ascii="仿宋_GB2312" w:hAnsi="仿宋" w:eastAsia="仿宋_GB2312"/>
          <w:kern w:val="0"/>
          <w:sz w:val="32"/>
          <w:szCs w:val="32"/>
        </w:rPr>
        <w:t>：指为保障机构正常运转、完成日常</w:t>
      </w:r>
    </w:p>
    <w:p>
      <w:pPr>
        <w:widowControl/>
        <w:snapToGrid w:val="0"/>
        <w:spacing w:line="560" w:lineRule="exact"/>
        <w:rPr>
          <w:rFonts w:hint="eastAsia" w:ascii="仿宋_GB2312" w:hAnsi="仿宋" w:eastAsia="仿宋_GB2312"/>
          <w:kern w:val="0"/>
          <w:sz w:val="32"/>
          <w:szCs w:val="32"/>
        </w:rPr>
      </w:pPr>
      <w:r>
        <w:rPr>
          <w:rFonts w:hint="eastAsia" w:ascii="仿宋_GB2312" w:hAnsi="仿宋" w:eastAsia="仿宋_GB2312"/>
          <w:kern w:val="0"/>
          <w:sz w:val="32"/>
          <w:szCs w:val="32"/>
        </w:rPr>
        <w:t>工作任务而发生的人员支出和公用支出。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（二）项目支出</w:t>
      </w:r>
      <w:r>
        <w:rPr>
          <w:rFonts w:hint="eastAsia" w:ascii="仿宋_GB2312" w:hAnsi="仿宋" w:eastAsia="仿宋_GB2312"/>
          <w:kern w:val="0"/>
          <w:sz w:val="32"/>
          <w:szCs w:val="32"/>
        </w:rPr>
        <w:t>：指在基本支出之外为完成特定行政任</w:t>
      </w:r>
    </w:p>
    <w:p>
      <w:pPr>
        <w:widowControl/>
        <w:spacing w:line="560" w:lineRule="exact"/>
        <w:rPr>
          <w:rFonts w:hint="eastAsia" w:ascii="仿宋_GB2312" w:hAnsi="仿宋" w:eastAsia="仿宋_GB2312"/>
          <w:kern w:val="0"/>
          <w:sz w:val="32"/>
          <w:szCs w:val="32"/>
        </w:rPr>
      </w:pPr>
      <w:r>
        <w:rPr>
          <w:rFonts w:hint="eastAsia" w:ascii="仿宋_GB2312" w:hAnsi="仿宋" w:eastAsia="仿宋_GB2312"/>
          <w:kern w:val="0"/>
          <w:sz w:val="32"/>
          <w:szCs w:val="32"/>
        </w:rPr>
        <w:t>务和事业发展目标所发生的支出。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（三）“三公”经费</w:t>
      </w:r>
      <w:r>
        <w:rPr>
          <w:rFonts w:hint="eastAsia" w:ascii="仿宋_GB2312" w:hAnsi="仿宋" w:eastAsia="仿宋_GB2312"/>
          <w:kern w:val="0"/>
          <w:sz w:val="32"/>
          <w:szCs w:val="32"/>
        </w:rPr>
        <w:t>：指用一般公共预算安排的因公出国（境）费、公务用车购置及运行费和公务接待费。其中，因公出国（境）费反映单位公务出国（境）的国际旅费、国外城市间交通费、住宿费、伙食费、培训费、公杂费等支出；公务用车购置费反映公务用车车辆购置支出（含车辆购置税）；公务用车运行维护费反映单位按规定保留的公务用车燃料费、维修费、过路过桥费、保险费、安全奖励费用等支出；公务接待费反映单位按规定开支的各类公务接待（含外宾接待）支出。</w:t>
      </w:r>
    </w:p>
    <w:p>
      <w:pPr>
        <w:widowControl/>
        <w:snapToGrid w:val="0"/>
        <w:spacing w:line="560" w:lineRule="exact"/>
        <w:ind w:firstLine="640"/>
        <w:rPr>
          <w:rFonts w:hint="eastAsia" w:ascii="仿宋_GB2312" w:hAnsi="仿宋" w:eastAsia="仿宋_GB2312"/>
          <w:kern w:val="0"/>
          <w:sz w:val="32"/>
          <w:szCs w:val="32"/>
        </w:rPr>
      </w:pPr>
      <w:r>
        <w:rPr>
          <w:rFonts w:hint="eastAsia" w:ascii="仿宋_GB2312" w:hAnsi="楷体" w:eastAsia="仿宋_GB2312"/>
          <w:kern w:val="0"/>
          <w:sz w:val="32"/>
          <w:szCs w:val="32"/>
        </w:rPr>
        <w:t>（四）机关运行经费</w:t>
      </w:r>
      <w:r>
        <w:rPr>
          <w:rFonts w:hint="eastAsia" w:ascii="仿宋_GB2312" w:hAnsi="仿宋" w:eastAsia="仿宋_GB2312"/>
          <w:kern w:val="0"/>
          <w:sz w:val="32"/>
          <w:szCs w:val="32"/>
        </w:rPr>
        <w:t>：指行政单位和参照公务员法管理的事业单位使用一般公共预算安排的基本支出中的日常公用经费支出。</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1904" w:h="376" w:hRule="exact" w:wrap="around" w:vAnchor="text" w:hAnchor="page" w:x="8518" w:y="11"/>
      <w:ind w:firstLine="560" w:firstLineChars="200"/>
      <w:rPr>
        <w:rStyle w:val="8"/>
        <w:rFonts w:hint="eastAsia" w:ascii="宋体" w:hAnsi="宋体"/>
        <w:sz w:val="28"/>
        <w:szCs w:val="28"/>
      </w:rPr>
    </w:pPr>
    <w:r>
      <w:rPr>
        <w:rStyle w:val="8"/>
        <w:rFonts w:hint="eastAsia" w:ascii="宋体" w:hAnsi="宋体"/>
        <w:sz w:val="28"/>
        <w:szCs w:val="28"/>
      </w:rPr>
      <w:t xml:space="preserve">— </w:t>
    </w:r>
    <w:r>
      <w:rPr>
        <w:rFonts w:ascii="宋体" w:hAnsi="宋体"/>
        <w:sz w:val="28"/>
        <w:szCs w:val="28"/>
      </w:rPr>
      <w:fldChar w:fldCharType="begin"/>
    </w:r>
    <w:r>
      <w:rPr>
        <w:rStyle w:val="8"/>
        <w:rFonts w:ascii="宋体" w:hAnsi="宋体"/>
        <w:sz w:val="28"/>
        <w:szCs w:val="28"/>
      </w:rPr>
      <w:instrText xml:space="preserve">PAGE  </w:instrText>
    </w:r>
    <w:r>
      <w:rPr>
        <w:rFonts w:ascii="宋体" w:hAnsi="宋体"/>
        <w:sz w:val="28"/>
        <w:szCs w:val="28"/>
      </w:rPr>
      <w:fldChar w:fldCharType="separate"/>
    </w:r>
    <w:r>
      <w:rPr>
        <w:rStyle w:val="8"/>
        <w:rFonts w:ascii="宋体" w:hAnsi="宋体"/>
        <w:sz w:val="28"/>
        <w:szCs w:val="28"/>
      </w:rPr>
      <w:t>1</w:t>
    </w:r>
    <w:r>
      <w:rPr>
        <w:rFonts w:ascii="宋体" w:hAnsi="宋体"/>
        <w:sz w:val="28"/>
        <w:szCs w:val="28"/>
      </w:rPr>
      <w:fldChar w:fldCharType="end"/>
    </w:r>
    <w:r>
      <w:rPr>
        <w:rStyle w:val="8"/>
        <w:rFonts w:hint="eastAsia" w:ascii="宋体" w:hAnsi="宋体"/>
        <w:sz w:val="28"/>
        <w:szCs w:val="28"/>
      </w:rPr>
      <w:t xml:space="preserve"> —</w:t>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56D05E"/>
    <w:multiLevelType w:val="singleLevel"/>
    <w:tmpl w:val="5456D05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14153FF"/>
    <w:rsid w:val="01E2763B"/>
    <w:rsid w:val="02302B49"/>
    <w:rsid w:val="02496741"/>
    <w:rsid w:val="029A63B2"/>
    <w:rsid w:val="02F71C94"/>
    <w:rsid w:val="03D1041C"/>
    <w:rsid w:val="042A46B1"/>
    <w:rsid w:val="047252B7"/>
    <w:rsid w:val="0595462A"/>
    <w:rsid w:val="05E51BD6"/>
    <w:rsid w:val="068F085F"/>
    <w:rsid w:val="06C82279"/>
    <w:rsid w:val="09ED16A4"/>
    <w:rsid w:val="0A395A2B"/>
    <w:rsid w:val="0A781506"/>
    <w:rsid w:val="0A831A07"/>
    <w:rsid w:val="0B7A268C"/>
    <w:rsid w:val="0C550EC0"/>
    <w:rsid w:val="0DE60AB5"/>
    <w:rsid w:val="0ECF36D9"/>
    <w:rsid w:val="0FAC09AE"/>
    <w:rsid w:val="10675503"/>
    <w:rsid w:val="10F95EB1"/>
    <w:rsid w:val="11910BD1"/>
    <w:rsid w:val="12AC5325"/>
    <w:rsid w:val="14897DBA"/>
    <w:rsid w:val="16027FF2"/>
    <w:rsid w:val="16407400"/>
    <w:rsid w:val="164D2E81"/>
    <w:rsid w:val="16A97B7B"/>
    <w:rsid w:val="17A809B3"/>
    <w:rsid w:val="18692FEC"/>
    <w:rsid w:val="189004E1"/>
    <w:rsid w:val="19B3058F"/>
    <w:rsid w:val="19CE7BD6"/>
    <w:rsid w:val="19D410BE"/>
    <w:rsid w:val="19EF64A7"/>
    <w:rsid w:val="1AEA4822"/>
    <w:rsid w:val="1DBF43F1"/>
    <w:rsid w:val="1E46404A"/>
    <w:rsid w:val="1F167368"/>
    <w:rsid w:val="1FD5315A"/>
    <w:rsid w:val="20953A56"/>
    <w:rsid w:val="20B465EE"/>
    <w:rsid w:val="22461B1D"/>
    <w:rsid w:val="229A0D7C"/>
    <w:rsid w:val="22DF6CA5"/>
    <w:rsid w:val="23613E3F"/>
    <w:rsid w:val="23C10D48"/>
    <w:rsid w:val="23D52ACB"/>
    <w:rsid w:val="23F2500F"/>
    <w:rsid w:val="24D33A48"/>
    <w:rsid w:val="26267710"/>
    <w:rsid w:val="26D73A12"/>
    <w:rsid w:val="26D867DF"/>
    <w:rsid w:val="275561AD"/>
    <w:rsid w:val="275B5730"/>
    <w:rsid w:val="28B179A0"/>
    <w:rsid w:val="297F60F4"/>
    <w:rsid w:val="29C54245"/>
    <w:rsid w:val="29E745D6"/>
    <w:rsid w:val="2A0C4B1E"/>
    <w:rsid w:val="2A997794"/>
    <w:rsid w:val="2AA80908"/>
    <w:rsid w:val="2B4A170A"/>
    <w:rsid w:val="2C292926"/>
    <w:rsid w:val="2C4900A3"/>
    <w:rsid w:val="2CB062F4"/>
    <w:rsid w:val="2D282446"/>
    <w:rsid w:val="2E08317D"/>
    <w:rsid w:val="2E4538B8"/>
    <w:rsid w:val="30B46CA3"/>
    <w:rsid w:val="316856A6"/>
    <w:rsid w:val="31CA3EE9"/>
    <w:rsid w:val="32103D80"/>
    <w:rsid w:val="32673A99"/>
    <w:rsid w:val="34C942F5"/>
    <w:rsid w:val="34DE6D61"/>
    <w:rsid w:val="35780C7F"/>
    <w:rsid w:val="36951834"/>
    <w:rsid w:val="36D55DA2"/>
    <w:rsid w:val="395C094E"/>
    <w:rsid w:val="397841A2"/>
    <w:rsid w:val="39B865D7"/>
    <w:rsid w:val="39C35268"/>
    <w:rsid w:val="39FD2297"/>
    <w:rsid w:val="3ABA5314"/>
    <w:rsid w:val="3B0872A5"/>
    <w:rsid w:val="3C9A09D4"/>
    <w:rsid w:val="3D036264"/>
    <w:rsid w:val="3D11386C"/>
    <w:rsid w:val="3D6345D6"/>
    <w:rsid w:val="3F0D5E27"/>
    <w:rsid w:val="3F510BAC"/>
    <w:rsid w:val="3F5B1A54"/>
    <w:rsid w:val="3FF763B7"/>
    <w:rsid w:val="4010633E"/>
    <w:rsid w:val="406929B7"/>
    <w:rsid w:val="413855EC"/>
    <w:rsid w:val="41F73716"/>
    <w:rsid w:val="42314B4F"/>
    <w:rsid w:val="42321896"/>
    <w:rsid w:val="42932653"/>
    <w:rsid w:val="42A87774"/>
    <w:rsid w:val="42B74EDB"/>
    <w:rsid w:val="42F820DB"/>
    <w:rsid w:val="44201677"/>
    <w:rsid w:val="44B8486B"/>
    <w:rsid w:val="45047640"/>
    <w:rsid w:val="457C07BD"/>
    <w:rsid w:val="46463CE7"/>
    <w:rsid w:val="47EE3BCE"/>
    <w:rsid w:val="48882984"/>
    <w:rsid w:val="49CA2653"/>
    <w:rsid w:val="49FF0CFB"/>
    <w:rsid w:val="4B517DBB"/>
    <w:rsid w:val="4BEC58E9"/>
    <w:rsid w:val="4BF3571C"/>
    <w:rsid w:val="4CCC2331"/>
    <w:rsid w:val="4D6954BF"/>
    <w:rsid w:val="508D555E"/>
    <w:rsid w:val="50BC7B39"/>
    <w:rsid w:val="527C3191"/>
    <w:rsid w:val="53DD6BA8"/>
    <w:rsid w:val="53F21A3F"/>
    <w:rsid w:val="55B2288E"/>
    <w:rsid w:val="55CB4852"/>
    <w:rsid w:val="579E20B3"/>
    <w:rsid w:val="57DB5E69"/>
    <w:rsid w:val="58430EF3"/>
    <w:rsid w:val="58AA41B4"/>
    <w:rsid w:val="59AC6411"/>
    <w:rsid w:val="59B51F6C"/>
    <w:rsid w:val="5A22632C"/>
    <w:rsid w:val="5AB04B75"/>
    <w:rsid w:val="5B494D63"/>
    <w:rsid w:val="5B9F36DE"/>
    <w:rsid w:val="5CA16867"/>
    <w:rsid w:val="5D15689C"/>
    <w:rsid w:val="5F4C57DE"/>
    <w:rsid w:val="5F767359"/>
    <w:rsid w:val="5FA40E1A"/>
    <w:rsid w:val="5FAE6B95"/>
    <w:rsid w:val="601069D6"/>
    <w:rsid w:val="60AD072C"/>
    <w:rsid w:val="61A97E4C"/>
    <w:rsid w:val="62680D4E"/>
    <w:rsid w:val="63804CC1"/>
    <w:rsid w:val="63CA0901"/>
    <w:rsid w:val="63DC3A6F"/>
    <w:rsid w:val="64535518"/>
    <w:rsid w:val="64A47E04"/>
    <w:rsid w:val="64AE406A"/>
    <w:rsid w:val="64E61465"/>
    <w:rsid w:val="65A60FF6"/>
    <w:rsid w:val="65A92D01"/>
    <w:rsid w:val="67573C0D"/>
    <w:rsid w:val="67606103"/>
    <w:rsid w:val="67EB6718"/>
    <w:rsid w:val="68C7713A"/>
    <w:rsid w:val="68F242AC"/>
    <w:rsid w:val="69365864"/>
    <w:rsid w:val="6A867112"/>
    <w:rsid w:val="6ABB4B62"/>
    <w:rsid w:val="6B73082E"/>
    <w:rsid w:val="6D4D6C9C"/>
    <w:rsid w:val="6DD00F51"/>
    <w:rsid w:val="6E130B2A"/>
    <w:rsid w:val="6E5205D8"/>
    <w:rsid w:val="6EDA2E31"/>
    <w:rsid w:val="70C61C0B"/>
    <w:rsid w:val="70E334F7"/>
    <w:rsid w:val="71D47169"/>
    <w:rsid w:val="720A3FB4"/>
    <w:rsid w:val="72C23FBE"/>
    <w:rsid w:val="72F81C9E"/>
    <w:rsid w:val="736E3BAB"/>
    <w:rsid w:val="753541C7"/>
    <w:rsid w:val="756851A1"/>
    <w:rsid w:val="75A56425"/>
    <w:rsid w:val="761362F3"/>
    <w:rsid w:val="77481BE2"/>
    <w:rsid w:val="77915F20"/>
    <w:rsid w:val="78317136"/>
    <w:rsid w:val="78801057"/>
    <w:rsid w:val="79333014"/>
    <w:rsid w:val="7A0A6456"/>
    <w:rsid w:val="7A82651F"/>
    <w:rsid w:val="7ADE0B82"/>
    <w:rsid w:val="7AED2B21"/>
    <w:rsid w:val="7B3A5C4F"/>
    <w:rsid w:val="7B787240"/>
    <w:rsid w:val="7BED6D57"/>
    <w:rsid w:val="7C605D84"/>
    <w:rsid w:val="7CB85B57"/>
    <w:rsid w:val="7CBB5016"/>
    <w:rsid w:val="7DAF3E53"/>
    <w:rsid w:val="7DD51D8B"/>
    <w:rsid w:val="7E2E3893"/>
    <w:rsid w:val="7E6B6F8A"/>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link w:val="7"/>
    <w:semiHidden/>
    <w:qFormat/>
    <w:uiPriority w:val="0"/>
    <w:rPr>
      <w:rFonts w:ascii="Times New Roman" w:hAnsi="Times New Roman"/>
      <w:szCs w:val="24"/>
    </w:rPr>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7">
    <w:name w:val="Char Char Char Char Char Char Char"/>
    <w:basedOn w:val="1"/>
    <w:link w:val="6"/>
    <w:qFormat/>
    <w:uiPriority w:val="0"/>
    <w:rPr>
      <w:rFonts w:ascii="Times New Roman" w:hAnsi="Times New Roman"/>
      <w:szCs w:val="24"/>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102</TotalTime>
  <ScaleCrop>false</ScaleCrop>
  <LinksUpToDate>false</LinksUpToDate>
  <CharactersWithSpaces>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Administrator</cp:lastModifiedBy>
  <cp:lastPrinted>2019-03-25T11:07:00Z</cp:lastPrinted>
  <dcterms:modified xsi:type="dcterms:W3CDTF">2019-04-03T07:04:47Z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