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襄汾县教育科技</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襄汾县教育科技局主要职责：加强基础教育工作，以农村教育为重点，推进义务教育均衡发展，促进公共教育资源进一步向农村地区倾斜，促进教育公平；深入推进基础教育教学改革，加强中小学德育，全面实施素质教育；大力发展职业教育，坚持以就业为导向，深化职业教育教学改革，努力提高职业学校的办学水平和质量，进一步增强职业教育发展活力；加强民办教育的统筹规划，综合协调和宏观管理，完善民办教育宏观管理的政策措施，规范办学秩序，促进民办教育事业健康发展；完善以县为主的中小学教师管理体制，加强对中小学教师工作的统筹、规划、管理。依法落实县级以上教育行政部门履行中小学教师的资格认定、招聘录用、职务评聘、培养培训、考核奖惩、调整流动等管理职能。</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keepNext w:val="0"/>
        <w:keepLines w:val="0"/>
        <w:widowControl/>
        <w:suppressLineNumbers w:val="0"/>
        <w:spacing w:before="0" w:beforeAutospacing="0" w:after="0" w:afterAutospacing="0" w:line="560" w:lineRule="exact"/>
        <w:ind w:left="0" w:right="0" w:firstLine="640"/>
        <w:jc w:val="both"/>
        <w:rPr>
          <w:rFonts w:hint="eastAsia" w:ascii="仿宋_GB2312" w:hAnsi="楷体" w:eastAsia="仿宋_GB2312" w:cs="仿宋_GB2312"/>
          <w:kern w:val="0"/>
          <w:sz w:val="32"/>
          <w:szCs w:val="32"/>
          <w:lang w:val="en-US"/>
        </w:rPr>
      </w:pPr>
      <w:r>
        <w:rPr>
          <w:rFonts w:hint="eastAsia" w:ascii="仿宋_GB2312" w:hAnsi="楷体" w:eastAsia="仿宋_GB2312"/>
          <w:kern w:val="0"/>
          <w:sz w:val="32"/>
          <w:szCs w:val="32"/>
          <w:lang w:val="en-US" w:eastAsia="zh-CN"/>
        </w:rPr>
        <w:t>襄汾县教育科技</w:t>
      </w:r>
      <w:r>
        <w:rPr>
          <w:rFonts w:hint="eastAsia" w:ascii="仿宋_GB2312" w:hAnsi="楷体" w:eastAsia="仿宋_GB2312" w:cs="仿宋_GB2312"/>
          <w:kern w:val="0"/>
          <w:sz w:val="32"/>
          <w:szCs w:val="32"/>
          <w:lang w:val="en-US" w:eastAsia="zh-CN" w:bidi="ar"/>
        </w:rPr>
        <w:t>局下设襄汾县教育科技局教研室、襄汾县新城镇中心小学校、襄汾县陶寺乡中心小学校、襄汾县大邓乡中心小学校、襄汾县邓庄镇中心小学校、襄汾县襄陵镇中心小学校、襄汾县南辛店乡中心小学校、襄汾县景毛乡中心小学校、襄汾县古城镇中心小学校、襄汾县汾城镇中心小学校、襄汾县西贾乡中心小学校、襄汾县赵康镇中心小学校、襄汾县永固乡中心小学校、襄汾县南贾镇中心小学校、山西省襄汾高级中学校、襄汾县实验高级中学校、襄汾县汾城高级中学校、襄汾县赵曲高级中学校、襄汾县南辛店高级中学校、襄汾县职业技术教育中心、襄汾县邓庄职业中学校、襄汾县第二初级中学校、襄汾县第三初级中学校、襄汾县第一小学校、襄汾县第二小学校、襄汾县第三小学校、襄汾县第四小学校、襄汾县第一幼儿园、襄汾县第二幼儿园、襄汾县特殊教育学校、襄汾县青少年校学生外活动中心31个预算单位。</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襄汾县教育科技局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襄汾县教育科技局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襄汾县教育科技局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襄汾县教育科技局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keepNext w:val="0"/>
        <w:keepLines w:val="0"/>
        <w:widowControl w:val="0"/>
        <w:suppressLineNumbers w:val="0"/>
        <w:spacing w:before="0" w:beforeAutospacing="0" w:after="0" w:afterAutospacing="0"/>
        <w:ind w:left="0" w:right="0" w:firstLine="537" w:firstLineChars="168"/>
        <w:jc w:val="both"/>
        <w:rPr>
          <w:rFonts w:hint="eastAsia" w:ascii="仿宋" w:hAnsi="仿宋" w:eastAsia="仿宋" w:cs="仿宋"/>
          <w:color w:val="000000"/>
          <w:kern w:val="0"/>
          <w:sz w:val="32"/>
          <w:szCs w:val="32"/>
          <w:lang w:val="en-US" w:eastAsia="zh-CN" w:bidi="ar"/>
        </w:rPr>
      </w:pPr>
      <w:r>
        <w:rPr>
          <w:rFonts w:hint="eastAsia" w:ascii="仿宋_GB2312" w:hAnsi="楷体" w:eastAsia="仿宋_GB2312"/>
          <w:kern w:val="0"/>
          <w:sz w:val="32"/>
          <w:szCs w:val="32"/>
          <w:lang w:val="en-US" w:eastAsia="zh-CN"/>
        </w:rPr>
        <w:t>变动情况：襄汾县教育科技</w:t>
      </w:r>
      <w:r>
        <w:rPr>
          <w:rFonts w:hint="eastAsia" w:ascii="仿宋" w:hAnsi="仿宋" w:eastAsia="仿宋" w:cs="仿宋"/>
          <w:color w:val="000000"/>
          <w:kern w:val="0"/>
          <w:sz w:val="32"/>
          <w:szCs w:val="32"/>
          <w:lang w:val="en-US" w:eastAsia="zh-CN" w:bidi="ar"/>
        </w:rPr>
        <w:t>2019年我单位预算收入总计：52238.597226万元，支出总计：52238.597226万元。一般公共预算支出为52238.597226万元，其中教育支出：</w:t>
      </w:r>
      <w:r>
        <w:rPr>
          <w:rFonts w:hint="eastAsia" w:ascii="仿宋" w:hAnsi="仿宋" w:eastAsia="宋体" w:cs="仿宋"/>
          <w:color w:val="000000"/>
          <w:kern w:val="0"/>
          <w:sz w:val="32"/>
          <w:szCs w:val="32"/>
          <w:lang w:val="en-US" w:eastAsia="zh-CN" w:bidi="ar"/>
        </w:rPr>
        <w:t>38899.1628</w:t>
      </w:r>
      <w:r>
        <w:rPr>
          <w:rFonts w:hint="eastAsia" w:ascii="仿宋" w:hAnsi="仿宋" w:eastAsia="仿宋" w:cs="仿宋"/>
          <w:color w:val="000000"/>
          <w:kern w:val="0"/>
          <w:sz w:val="32"/>
          <w:szCs w:val="32"/>
          <w:lang w:val="en-US" w:eastAsia="zh-CN" w:bidi="ar"/>
        </w:rPr>
        <w:t>万元,社会保障和就业支出：9448.051074万元,医疗卫生与计划生育支出：1812.690396万元,住房保障支出：2078.692956万元。比2018年45211.631307增加7026.965919万元。</w:t>
      </w:r>
    </w:p>
    <w:p>
      <w:pPr>
        <w:keepNext w:val="0"/>
        <w:keepLines w:val="0"/>
        <w:widowControl/>
        <w:suppressLineNumbers w:val="0"/>
        <w:spacing w:before="0" w:beforeAutospacing="0" w:after="0" w:afterAutospacing="0" w:line="560" w:lineRule="exact"/>
        <w:ind w:left="0" w:right="0" w:firstLine="636"/>
        <w:jc w:val="both"/>
        <w:rPr>
          <w:rFonts w:hint="eastAsia" w:ascii="仿宋_GB2312" w:hAnsi="楷体" w:eastAsia="仿宋_GB2312" w:cs="仿宋_GB2312"/>
          <w:kern w:val="0"/>
          <w:sz w:val="32"/>
          <w:szCs w:val="32"/>
          <w:lang w:val="en-US"/>
        </w:rPr>
      </w:pPr>
      <w:r>
        <w:rPr>
          <w:rFonts w:hint="eastAsia" w:ascii="仿宋_GB2312" w:hAnsi="楷体" w:eastAsia="仿宋_GB2312" w:cs="仿宋_GB2312"/>
          <w:kern w:val="0"/>
          <w:sz w:val="32"/>
          <w:szCs w:val="32"/>
          <w:lang w:val="en-US" w:eastAsia="zh-CN" w:bidi="ar"/>
        </w:rPr>
        <w:t>变动原因：</w:t>
      </w:r>
      <w:r>
        <w:rPr>
          <w:rFonts w:hint="eastAsia" w:ascii="仿宋" w:hAnsi="仿宋" w:eastAsia="仿宋" w:cs="仿宋"/>
          <w:color w:val="000000"/>
          <w:kern w:val="0"/>
          <w:sz w:val="32"/>
          <w:szCs w:val="32"/>
          <w:lang w:val="en-US" w:eastAsia="zh-CN" w:bidi="ar"/>
        </w:rPr>
        <w:t>在职人员工资调标增加</w:t>
      </w:r>
      <w:r>
        <w:rPr>
          <w:rFonts w:hint="eastAsia" w:ascii="仿宋_GB2312" w:hAnsi="楷体" w:eastAsia="仿宋_GB2312" w:cs="仿宋_GB2312"/>
          <w:kern w:val="0"/>
          <w:sz w:val="32"/>
          <w:szCs w:val="32"/>
          <w:lang w:val="en-US" w:eastAsia="zh-CN" w:bidi="ar"/>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6.4</w:t>
      </w:r>
      <w:r>
        <w:rPr>
          <w:rFonts w:hint="eastAsia" w:ascii="仿宋_GB2312" w:eastAsia="仿宋_GB2312"/>
          <w:sz w:val="32"/>
          <w:szCs w:val="32"/>
        </w:rPr>
        <w:t>万元，比</w:t>
      </w:r>
      <w:r>
        <w:rPr>
          <w:rFonts w:hint="eastAsia" w:ascii="仿宋_GB2312" w:eastAsia="仿宋_GB2312"/>
          <w:sz w:val="32"/>
          <w:szCs w:val="32"/>
          <w:lang w:eastAsia="zh-CN"/>
        </w:rPr>
        <w:t>2018</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lang w:val="en-US" w:eastAsia="zh-CN"/>
        </w:rPr>
        <w:t>3</w:t>
      </w:r>
      <w:r>
        <w:rPr>
          <w:rFonts w:hint="eastAsia" w:ascii="仿宋_GB2312" w:eastAsia="仿宋_GB2312"/>
          <w:sz w:val="32"/>
          <w:szCs w:val="32"/>
          <w:lang w:eastAsia="zh-CN"/>
        </w:rPr>
        <w:t>万元，原因是</w:t>
      </w:r>
      <w:r>
        <w:rPr>
          <w:rFonts w:hint="eastAsia" w:ascii="仿宋_GB2312" w:eastAsia="仿宋_GB2312"/>
          <w:sz w:val="32"/>
          <w:szCs w:val="32"/>
          <w:lang w:val="en-US" w:eastAsia="zh-CN"/>
        </w:rPr>
        <w:t>中高考部分费用列入公务接待费</w:t>
      </w:r>
      <w:r>
        <w:rPr>
          <w:rFonts w:hint="eastAsia" w:ascii="仿宋_GB2312" w:eastAsia="仿宋_GB2312"/>
          <w:sz w:val="32"/>
          <w:szCs w:val="32"/>
          <w:lang w:eastAsia="zh-CN"/>
        </w:rPr>
        <w:t>。其中：公务接</w:t>
      </w:r>
      <w:r>
        <w:rPr>
          <w:rFonts w:hint="eastAsia" w:ascii="仿宋_GB2312" w:eastAsia="仿宋_GB2312"/>
          <w:sz w:val="32"/>
          <w:szCs w:val="32"/>
        </w:rPr>
        <w:t>待费</w:t>
      </w:r>
      <w:r>
        <w:rPr>
          <w:rFonts w:hint="eastAsia" w:ascii="仿宋_GB2312" w:eastAsia="仿宋_GB2312"/>
          <w:sz w:val="32"/>
          <w:szCs w:val="32"/>
          <w:lang w:val="en-US" w:eastAsia="zh-CN"/>
        </w:rPr>
        <w:t>5</w:t>
      </w:r>
      <w:r>
        <w:rPr>
          <w:rFonts w:hint="eastAsia" w:ascii="仿宋_GB2312" w:eastAsia="仿宋_GB2312"/>
          <w:sz w:val="32"/>
          <w:szCs w:val="32"/>
        </w:rPr>
        <w:t>万元，比上年增加</w:t>
      </w:r>
      <w:r>
        <w:rPr>
          <w:rFonts w:hint="eastAsia" w:ascii="仿宋_GB2312" w:eastAsia="仿宋_GB2312"/>
          <w:sz w:val="32"/>
          <w:szCs w:val="32"/>
          <w:lang w:val="en-US" w:eastAsia="zh-CN"/>
        </w:rPr>
        <w:t>3</w:t>
      </w:r>
      <w:r>
        <w:rPr>
          <w:rFonts w:hint="eastAsia" w:ascii="仿宋_GB2312" w:eastAsia="仿宋_GB2312"/>
          <w:sz w:val="32"/>
          <w:szCs w:val="32"/>
        </w:rPr>
        <w:t>万元，原因是</w:t>
      </w:r>
      <w:r>
        <w:rPr>
          <w:rFonts w:hint="eastAsia" w:ascii="仿宋_GB2312" w:eastAsia="仿宋_GB2312"/>
          <w:sz w:val="32"/>
          <w:szCs w:val="32"/>
          <w:lang w:val="en-US" w:eastAsia="zh-CN"/>
        </w:rPr>
        <w:t>中高考部分费用列入公务接待费；</w:t>
      </w:r>
      <w:r>
        <w:rPr>
          <w:rFonts w:hint="eastAsia" w:ascii="仿宋_GB2312" w:eastAsia="仿宋_GB2312"/>
          <w:sz w:val="32"/>
          <w:szCs w:val="32"/>
        </w:rPr>
        <w:t>公务用车运行维护费</w:t>
      </w:r>
      <w:r>
        <w:rPr>
          <w:rFonts w:hint="eastAsia" w:ascii="仿宋_GB2312" w:eastAsia="仿宋_GB2312"/>
          <w:sz w:val="32"/>
          <w:szCs w:val="32"/>
          <w:lang w:val="en-US" w:eastAsia="zh-CN"/>
        </w:rPr>
        <w:t>1.4</w:t>
      </w:r>
      <w:r>
        <w:rPr>
          <w:rFonts w:hint="eastAsia" w:ascii="仿宋_GB2312" w:eastAsia="仿宋_GB2312"/>
          <w:sz w:val="32"/>
          <w:szCs w:val="32"/>
        </w:rPr>
        <w:t>万元，比上年</w:t>
      </w:r>
      <w:r>
        <w:rPr>
          <w:rFonts w:hint="eastAsia" w:ascii="仿宋_GB2312" w:eastAsia="仿宋_GB2312"/>
          <w:sz w:val="32"/>
          <w:szCs w:val="32"/>
          <w:lang w:val="en-US" w:eastAsia="zh-CN"/>
        </w:rPr>
        <w:t>无增减</w:t>
      </w:r>
      <w:r>
        <w:rPr>
          <w:rFonts w:hint="eastAsia" w:ascii="仿宋_GB2312" w:eastAsia="仿宋_GB2312"/>
          <w:sz w:val="32"/>
          <w:szCs w:val="32"/>
          <w:lang w:eastAsia="zh-CN"/>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val="en-US" w:eastAsia="zh-CN"/>
        </w:rPr>
        <w:t>51.61</w:t>
      </w:r>
      <w:r>
        <w:rPr>
          <w:rFonts w:hint="eastAsia" w:ascii="仿宋_GB2312" w:hAnsi="仿宋" w:eastAsia="仿宋_GB2312"/>
          <w:kern w:val="0"/>
          <w:sz w:val="32"/>
          <w:szCs w:val="32"/>
        </w:rPr>
        <w:t>万元，比</w:t>
      </w:r>
      <w:r>
        <w:rPr>
          <w:rFonts w:hint="eastAsia" w:ascii="仿宋_GB2312" w:hAnsi="仿宋" w:eastAsia="仿宋_GB2312"/>
          <w:kern w:val="0"/>
          <w:sz w:val="32"/>
          <w:szCs w:val="32"/>
          <w:lang w:eastAsia="zh-CN"/>
        </w:rPr>
        <w:t>2018</w:t>
      </w:r>
      <w:r>
        <w:rPr>
          <w:rFonts w:hint="eastAsia" w:ascii="仿宋_GB2312" w:hAnsi="仿宋" w:eastAsia="仿宋_GB2312"/>
          <w:kern w:val="0"/>
          <w:sz w:val="32"/>
          <w:szCs w:val="32"/>
        </w:rPr>
        <w:t>年预算增加</w:t>
      </w:r>
      <w:r>
        <w:rPr>
          <w:rFonts w:hint="eastAsia" w:ascii="仿宋_GB2312" w:hAnsi="仿宋" w:eastAsia="仿宋_GB2312"/>
          <w:kern w:val="0"/>
          <w:sz w:val="32"/>
          <w:szCs w:val="32"/>
          <w:lang w:val="en-US" w:eastAsia="zh-CN"/>
        </w:rPr>
        <w:t>51.61</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增长</w:t>
      </w:r>
      <w:r>
        <w:rPr>
          <w:rFonts w:hint="eastAsia" w:ascii="仿宋_GB2312" w:hAnsi="仿宋" w:eastAsia="仿宋_GB2312"/>
          <w:kern w:val="0"/>
          <w:sz w:val="32"/>
          <w:szCs w:val="32"/>
          <w:lang w:val="en-US" w:eastAsia="zh-CN"/>
        </w:rPr>
        <w:t>100</w:t>
      </w:r>
      <w:r>
        <w:rPr>
          <w:rFonts w:hint="eastAsia" w:ascii="仿宋_GB2312" w:hAnsi="仿宋" w:eastAsia="仿宋_GB2312"/>
          <w:kern w:val="0"/>
          <w:sz w:val="32"/>
          <w:szCs w:val="32"/>
          <w:lang w:eastAsia="zh-CN"/>
        </w:rPr>
        <w:t>%,原因是</w:t>
      </w:r>
      <w:r>
        <w:rPr>
          <w:rFonts w:hint="eastAsia" w:ascii="仿宋_GB2312" w:hAnsi="仿宋" w:eastAsia="仿宋_GB2312"/>
          <w:kern w:val="0"/>
          <w:sz w:val="32"/>
          <w:szCs w:val="32"/>
          <w:lang w:val="en-US" w:eastAsia="zh-CN"/>
        </w:rPr>
        <w:t>我单位2018年按事业单位填报，未列机关运行经费预算，2019年明确政府机关性质，列机关运行经费预算</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四、政府采购情况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各单位</w:t>
      </w:r>
      <w:r>
        <w:rPr>
          <w:rFonts w:hint="eastAsia" w:ascii="仿宋_GB2312" w:hAnsi="仿宋" w:eastAsia="仿宋_GB2312"/>
          <w:kern w:val="0"/>
          <w:sz w:val="32"/>
          <w:szCs w:val="32"/>
          <w:lang w:eastAsia="zh-CN"/>
        </w:rPr>
        <w:t>无政府采购</w:t>
      </w:r>
      <w:r>
        <w:rPr>
          <w:rFonts w:hint="eastAsia" w:ascii="仿宋_GB2312" w:hAnsi="仿宋" w:eastAsia="仿宋_GB2312"/>
          <w:kern w:val="0"/>
          <w:sz w:val="32"/>
          <w:szCs w:val="32"/>
          <w:lang w:val="en-US" w:eastAsia="zh-CN"/>
        </w:rPr>
        <w:t>预算。</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五、绩效管理情况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襄汾县教育科技</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27</w:t>
      </w:r>
      <w:r>
        <w:rPr>
          <w:rFonts w:hint="eastAsia" w:ascii="仿宋_GB2312" w:hAnsi="仿宋" w:eastAsia="仿宋_GB2312"/>
          <w:kern w:val="0"/>
          <w:sz w:val="32"/>
          <w:szCs w:val="32"/>
        </w:rPr>
        <w:t>个</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具体见附件2</w:t>
      </w:r>
      <w:r>
        <w:rPr>
          <w:rFonts w:hint="eastAsia" w:ascii="仿宋_GB2312" w:hAnsi="仿宋" w:eastAsia="仿宋_GB2312"/>
          <w:kern w:val="0"/>
          <w:sz w:val="32"/>
          <w:szCs w:val="32"/>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bookmarkStart w:id="0" w:name="_GoBack"/>
      <w:bookmarkEnd w:id="0"/>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cs="仿宋_GB2312"/>
          <w:kern w:val="0"/>
          <w:sz w:val="32"/>
          <w:szCs w:val="32"/>
          <w:lang w:val="en-US" w:eastAsia="zh-CN" w:bidi="ar"/>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cs="仿宋_GB2312"/>
          <w:kern w:val="0"/>
          <w:sz w:val="32"/>
          <w:szCs w:val="32"/>
          <w:lang w:val="en-US" w:eastAsia="zh-CN" w:bidi="ar"/>
        </w:rPr>
        <w:t>截至2018年底，</w:t>
      </w:r>
      <w:r>
        <w:rPr>
          <w:rFonts w:hint="eastAsia" w:ascii="仿宋_GB2312" w:hAnsi="仿宋" w:eastAsia="仿宋_GB2312"/>
          <w:kern w:val="0"/>
          <w:sz w:val="32"/>
          <w:szCs w:val="32"/>
          <w:lang w:val="en-US" w:eastAsia="zh-CN"/>
        </w:rPr>
        <w:t>襄汾县教育科技局</w:t>
      </w:r>
      <w:r>
        <w:rPr>
          <w:rFonts w:hint="eastAsia" w:ascii="仿宋_GB2312" w:hAnsi="仿宋" w:eastAsia="仿宋_GB2312" w:cs="仿宋_GB2312"/>
          <w:kern w:val="0"/>
          <w:sz w:val="32"/>
          <w:szCs w:val="32"/>
          <w:lang w:val="en-US" w:eastAsia="zh-CN" w:bidi="ar"/>
        </w:rPr>
        <w:t>下属31个单位实际保留公车1辆（教研室），原值11.62万元，另有下属学校的13辆车已按规定处置。</w:t>
      </w:r>
    </w:p>
    <w:p>
      <w:pPr>
        <w:keepNext w:val="0"/>
        <w:keepLines w:val="0"/>
        <w:widowControl/>
        <w:suppressLineNumbers w:val="0"/>
        <w:spacing w:before="0" w:beforeAutospacing="0" w:after="0" w:afterAutospacing="0" w:line="560" w:lineRule="exact"/>
        <w:ind w:left="0" w:right="0" w:firstLine="636"/>
        <w:jc w:val="both"/>
        <w:rPr>
          <w:rFonts w:hint="eastAsia" w:ascii="仿宋_GB2312" w:hAnsi="仿宋" w:eastAsia="仿宋_GB2312" w:cs="仿宋_GB2312"/>
          <w:kern w:val="0"/>
          <w:sz w:val="32"/>
          <w:szCs w:val="32"/>
          <w:lang w:val="en-US"/>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cs="仿宋_GB2312"/>
          <w:kern w:val="0"/>
          <w:sz w:val="32"/>
          <w:szCs w:val="32"/>
          <w:lang w:val="en-US" w:eastAsia="zh-CN" w:bidi="ar"/>
        </w:rPr>
        <w:t>截至2018年底，</w:t>
      </w:r>
      <w:r>
        <w:rPr>
          <w:rFonts w:hint="eastAsia" w:ascii="仿宋_GB2312" w:hAnsi="仿宋" w:eastAsia="仿宋_GB2312"/>
          <w:kern w:val="0"/>
          <w:sz w:val="32"/>
          <w:szCs w:val="32"/>
          <w:lang w:val="en-US" w:eastAsia="zh-CN"/>
        </w:rPr>
        <w:t>襄汾县教育科技</w:t>
      </w:r>
      <w:r>
        <w:rPr>
          <w:rFonts w:hint="eastAsia" w:ascii="仿宋_GB2312" w:hAnsi="仿宋" w:eastAsia="仿宋_GB2312" w:cs="仿宋_GB2312"/>
          <w:kern w:val="0"/>
          <w:sz w:val="32"/>
          <w:szCs w:val="32"/>
          <w:lang w:val="en-US" w:eastAsia="zh-CN" w:bidi="ar"/>
        </w:rPr>
        <w:t>局下属31个单位共有占有房屋40.39万平方米，原值总计：30891.31万元。</w:t>
      </w:r>
    </w:p>
    <w:p>
      <w:pPr>
        <w:widowControl/>
        <w:spacing w:line="560" w:lineRule="exact"/>
        <w:ind w:firstLine="636"/>
        <w:rPr>
          <w:rFonts w:hint="eastAsia" w:ascii="仿宋_GB2312" w:hAnsi="仿宋" w:eastAsia="仿宋_GB2312" w:cs="仿宋_GB2312"/>
          <w:kern w:val="0"/>
          <w:sz w:val="32"/>
          <w:szCs w:val="32"/>
          <w:lang w:val="en-US"/>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w:t>
      </w:r>
      <w:r>
        <w:rPr>
          <w:rFonts w:hint="eastAsia" w:ascii="仿宋_GB2312" w:hAnsi="仿宋" w:eastAsia="仿宋_GB2312" w:cs="仿宋_GB2312"/>
          <w:kern w:val="0"/>
          <w:sz w:val="32"/>
          <w:szCs w:val="32"/>
          <w:lang w:val="en-US" w:eastAsia="zh-CN" w:bidi="ar"/>
        </w:rPr>
        <w:t>截至2018年底，</w:t>
      </w:r>
      <w:r>
        <w:rPr>
          <w:rFonts w:hint="eastAsia" w:ascii="仿宋_GB2312" w:hAnsi="仿宋" w:eastAsia="仿宋_GB2312"/>
          <w:kern w:val="0"/>
          <w:sz w:val="32"/>
          <w:szCs w:val="32"/>
          <w:lang w:val="en-US" w:eastAsia="zh-CN"/>
        </w:rPr>
        <w:t>襄汾县教育科技</w:t>
      </w:r>
      <w:r>
        <w:rPr>
          <w:rFonts w:hint="eastAsia" w:ascii="仿宋_GB2312" w:hAnsi="仿宋" w:eastAsia="仿宋_GB2312" w:cs="仿宋_GB2312"/>
          <w:kern w:val="0"/>
          <w:sz w:val="32"/>
          <w:szCs w:val="32"/>
          <w:lang w:val="en-US" w:eastAsia="zh-CN" w:bidi="ar"/>
        </w:rPr>
        <w:t>局下属31个单位共拥有通用设备14734套，原值总计：9109.76万元；专用设备3672套，原值总计：1812.78万元；陈列物5件，原值4.76万元；图书568975册，原值：1100.92万元；家具用具118140件，原值：2846.23万元；无形资产11套，原值7.61万元。</w:t>
      </w:r>
    </w:p>
    <w:p>
      <w:pPr>
        <w:keepNext w:val="0"/>
        <w:keepLines w:val="0"/>
        <w:widowControl/>
        <w:suppressLineNumbers w:val="0"/>
        <w:spacing w:before="0" w:beforeAutospacing="0" w:after="0" w:afterAutospacing="0" w:line="560" w:lineRule="exact"/>
        <w:ind w:left="0" w:right="0" w:firstLine="636"/>
        <w:jc w:val="both"/>
        <w:rPr>
          <w:rFonts w:hint="eastAsia" w:ascii="仿宋_GB2312" w:hAnsi="仿宋" w:eastAsia="仿宋_GB2312" w:cs="仿宋_GB2312"/>
          <w:kern w:val="0"/>
          <w:sz w:val="32"/>
          <w:szCs w:val="32"/>
          <w:lang w:val="en-US"/>
        </w:rPr>
      </w:pPr>
      <w:r>
        <w:rPr>
          <w:rFonts w:hint="eastAsia" w:ascii="仿宋_GB2312" w:hAnsi="仿宋" w:eastAsia="仿宋_GB2312" w:cs="仿宋_GB2312"/>
          <w:kern w:val="0"/>
          <w:sz w:val="32"/>
          <w:szCs w:val="32"/>
          <w:lang w:val="en-US" w:eastAsia="zh-CN" w:bidi="ar"/>
        </w:rPr>
        <w:t>（三）其他：无</w:t>
      </w:r>
    </w:p>
    <w:p>
      <w:pPr>
        <w:widowControl/>
        <w:spacing w:line="560" w:lineRule="exact"/>
        <w:ind w:firstLine="636"/>
        <w:rPr>
          <w:rFonts w:hint="default" w:ascii="仿宋_GB2312" w:hAnsi="仿宋"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3C6F96"/>
    <w:rsid w:val="01E2763B"/>
    <w:rsid w:val="02302B49"/>
    <w:rsid w:val="02496741"/>
    <w:rsid w:val="02F71C94"/>
    <w:rsid w:val="042A46B1"/>
    <w:rsid w:val="047252B7"/>
    <w:rsid w:val="059240C6"/>
    <w:rsid w:val="0595462A"/>
    <w:rsid w:val="05E51BD6"/>
    <w:rsid w:val="068F085F"/>
    <w:rsid w:val="06C82279"/>
    <w:rsid w:val="09ED16A4"/>
    <w:rsid w:val="0A395A2B"/>
    <w:rsid w:val="0A781506"/>
    <w:rsid w:val="0A831A07"/>
    <w:rsid w:val="0B7A268C"/>
    <w:rsid w:val="0C550EC0"/>
    <w:rsid w:val="0D892688"/>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4672A2"/>
    <w:rsid w:val="3D6345D6"/>
    <w:rsid w:val="3F0D5E27"/>
    <w:rsid w:val="3F510BAC"/>
    <w:rsid w:val="3F5B1A54"/>
    <w:rsid w:val="3FBA6387"/>
    <w:rsid w:val="3FF763B7"/>
    <w:rsid w:val="4010633E"/>
    <w:rsid w:val="406929B7"/>
    <w:rsid w:val="413855EC"/>
    <w:rsid w:val="41F73716"/>
    <w:rsid w:val="42314B4F"/>
    <w:rsid w:val="42321896"/>
    <w:rsid w:val="42932653"/>
    <w:rsid w:val="42A87774"/>
    <w:rsid w:val="44B8486B"/>
    <w:rsid w:val="45047640"/>
    <w:rsid w:val="457C07BD"/>
    <w:rsid w:val="46463CE7"/>
    <w:rsid w:val="46D96344"/>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68458B8"/>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98713F"/>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r</cp:lastModifiedBy>
  <cp:lastPrinted>2019-04-04T01:06:00Z</cp:lastPrinted>
  <dcterms:modified xsi:type="dcterms:W3CDTF">2019-04-04T08:37:45Z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