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r>
        <w:rPr>
          <w:rFonts w:hint="eastAsia" w:ascii="宋体" w:hAnsi="宋体" w:eastAsia="宋体" w:cs="宋体"/>
          <w:kern w:val="0"/>
          <w:sz w:val="32"/>
          <w:szCs w:val="32"/>
        </w:rPr>
        <w:t>附件1</w:t>
      </w:r>
      <w:bookmarkStart w:id="0" w:name="_GoBack"/>
      <w:bookmarkEnd w:id="0"/>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襄汾县农业农村</w:t>
      </w:r>
      <w:r>
        <w:rPr>
          <w:rFonts w:hint="eastAsia" w:ascii="宋体" w:hAnsi="宋体" w:eastAsia="宋体" w:cs="宋体"/>
          <w:b/>
          <w:bCs/>
          <w:kern w:val="0"/>
          <w:sz w:val="44"/>
          <w:szCs w:val="44"/>
          <w:lang w:val="en-US" w:eastAsia="zh-CN"/>
        </w:rPr>
        <w:t>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（一）贯彻落实党中央、国务院和省委、省政府及临汾市委、市政府农业和农村工作的方针、政策,推进农业依法行政。</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（二）指导粮食等主要农产品生产，引导农业产业结构的合理调整、农业资源的合理配置和农产品质量的改善。</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（三）管理农村土地承包、耕地使用权流转和承包纠纷仲裁,管理、监督、减轻农民负担和村民筹资筹劳等工作，管理农村集体资产和农村集体财务。</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（四）管理全县农业社会化服务体系。</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（五）按照职责权限对本辖区农产品质量安全状况进行监管,指导全县农业检验检测体系建设，组织农产品质量安全的监督管理。</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pPr>
      <w:r>
        <w:rPr>
          <w:rFonts w:hint="eastAsia" w:ascii="仿宋" w:hAnsi="仿宋" w:eastAsia="仿宋" w:cs="仿宋"/>
          <w:color w:val="333333"/>
          <w:kern w:val="0"/>
          <w:sz w:val="32"/>
          <w:szCs w:val="32"/>
          <w:lang w:val="en-US" w:eastAsia="zh-CN" w:bidi="ar"/>
        </w:rPr>
        <w:t>（六）负责农作物重大病虫害的防治。</w:t>
      </w:r>
      <w:r>
        <w:rPr>
          <w:rFonts w:hint="default" w:ascii="Tahoma" w:hAnsi="Tahoma" w:eastAsia="Tahoma" w:cs="Tahoma"/>
          <w:color w:val="333333"/>
          <w:kern w:val="0"/>
          <w:sz w:val="24"/>
          <w:szCs w:val="24"/>
          <w:lang w:val="en-US" w:eastAsia="zh-CN" w:bidi="ar"/>
        </w:rPr>
        <w:t xml:space="preserve"> </w:t>
      </w:r>
    </w:p>
    <w:p>
      <w:pPr>
        <w:keepNext w:val="0"/>
        <w:keepLines w:val="0"/>
        <w:widowControl/>
        <w:suppressLineNumbers w:val="0"/>
        <w:spacing w:before="0" w:beforeAutospacing="0" w:after="0" w:afterAutospacing="0" w:line="27" w:lineRule="atLeast"/>
        <w:ind w:left="0" w:right="0" w:firstLine="645"/>
        <w:jc w:val="left"/>
        <w:rPr>
          <w:rFonts w:hint="eastAsia" w:ascii="仿宋_GB2312" w:hAnsi="楷体" w:eastAsia="仿宋_GB2312"/>
          <w:kern w:val="0"/>
          <w:sz w:val="32"/>
          <w:szCs w:val="32"/>
        </w:rPr>
      </w:pPr>
      <w:r>
        <w:rPr>
          <w:rFonts w:hint="eastAsia" w:ascii="仿宋" w:hAnsi="仿宋" w:eastAsia="仿宋" w:cs="仿宋"/>
          <w:color w:val="333333"/>
          <w:kern w:val="0"/>
          <w:sz w:val="32"/>
          <w:szCs w:val="32"/>
          <w:lang w:val="en-US" w:eastAsia="zh-CN" w:bidi="ar"/>
        </w:rPr>
        <w:t>（七）贯彻落实农业科研、农技推广规划和有关政策，实施科教兴农战略。</w:t>
      </w:r>
      <w:r>
        <w:rPr>
          <w:rFonts w:hint="default" w:ascii="Tahoma" w:hAnsi="Tahoma" w:eastAsia="Tahoma" w:cs="Tahoma"/>
          <w:color w:val="333333"/>
          <w:kern w:val="0"/>
          <w:sz w:val="24"/>
          <w:szCs w:val="24"/>
          <w:lang w:val="en-US" w:eastAsia="zh-CN" w:bidi="ar"/>
        </w:rPr>
        <w:t xml:space="preserve"> </w:t>
      </w:r>
    </w:p>
    <w:p>
      <w:pPr>
        <w:widowControl/>
        <w:numPr>
          <w:ilvl w:val="0"/>
          <w:numId w:val="1"/>
        </w:numPr>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机构设置情况</w:t>
      </w:r>
    </w:p>
    <w:p>
      <w:pPr>
        <w:widowControl/>
        <w:numPr>
          <w:ilvl w:val="0"/>
          <w:numId w:val="0"/>
        </w:numPr>
        <w:spacing w:line="560" w:lineRule="exact"/>
        <w:rPr>
          <w:rFonts w:hint="default" w:ascii="仿宋_GB2312" w:hAnsi="楷体" w:eastAsia="仿宋_GB2312"/>
          <w:kern w:val="0"/>
          <w:sz w:val="32"/>
          <w:szCs w:val="32"/>
          <w:lang w:val="en-US" w:eastAsia="zh-CN"/>
        </w:rPr>
      </w:pPr>
      <w:r>
        <w:rPr>
          <w:rFonts w:hint="eastAsia" w:ascii="仿宋_GB2312" w:eastAsia="仿宋_GB2312"/>
          <w:sz w:val="32"/>
          <w:szCs w:val="32"/>
          <w:lang w:val="en-US" w:eastAsia="zh-CN"/>
        </w:rPr>
        <w:t xml:space="preserve">   农委机关设综合办公室、政策法规股、科教信息股、农村工作股、发展计划与项目监管股和农产品管理股等6个行政股室.下设农技中心、果树中心、蔬菜中心、农业综合执法大队、种子管理站和原种场等6个直属事业单位及7个区域中心站。</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2018年度部门预算1498.65147元，2019年度部门预算2325.556368元</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变动情况：2019年部门预算增加</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变动原因：2019年部门预算项目支出增加</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lang w:eastAsia="zh-CN"/>
        </w:rPr>
      </w:pPr>
      <w:r>
        <w:rPr>
          <w:rFonts w:hint="eastAsia" w:ascii="仿宋_GB2312" w:eastAsia="仿宋_GB2312"/>
          <w:sz w:val="32"/>
          <w:szCs w:val="32"/>
          <w:lang w:eastAsia="zh-CN"/>
        </w:rPr>
        <w:t>2019</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5.9</w:t>
      </w:r>
      <w:r>
        <w:rPr>
          <w:rFonts w:hint="eastAsia" w:ascii="仿宋_GB2312" w:eastAsia="仿宋_GB2312"/>
          <w:sz w:val="32"/>
          <w:szCs w:val="32"/>
        </w:rPr>
        <w:t>万元，比</w:t>
      </w:r>
      <w:r>
        <w:rPr>
          <w:rFonts w:hint="eastAsia" w:ascii="仿宋_GB2312" w:eastAsia="仿宋_GB2312"/>
          <w:sz w:val="32"/>
          <w:szCs w:val="32"/>
          <w:lang w:eastAsia="zh-CN"/>
        </w:rPr>
        <w:t>2018</w:t>
      </w:r>
      <w:r>
        <w:rPr>
          <w:rFonts w:hint="eastAsia" w:ascii="仿宋_GB2312" w:eastAsia="仿宋_GB2312"/>
          <w:sz w:val="32"/>
          <w:szCs w:val="32"/>
        </w:rPr>
        <w:t>年减少</w:t>
      </w:r>
      <w:r>
        <w:rPr>
          <w:rFonts w:hint="eastAsia" w:ascii="仿宋_GB2312" w:eastAsia="仿宋_GB2312"/>
          <w:sz w:val="32"/>
          <w:szCs w:val="32"/>
          <w:lang w:val="en-US" w:eastAsia="zh-CN"/>
        </w:rPr>
        <w:t>1.4</w:t>
      </w:r>
      <w:r>
        <w:rPr>
          <w:rFonts w:hint="eastAsia" w:ascii="仿宋_GB2312" w:eastAsia="仿宋_GB2312"/>
          <w:sz w:val="32"/>
          <w:szCs w:val="32"/>
        </w:rPr>
        <w:t>万元，原因是</w:t>
      </w:r>
      <w:r>
        <w:rPr>
          <w:rFonts w:hint="eastAsia" w:ascii="仿宋_GB2312" w:eastAsia="仿宋_GB2312"/>
          <w:sz w:val="32"/>
          <w:szCs w:val="32"/>
          <w:lang w:eastAsia="zh-CN"/>
        </w:rPr>
        <w:t>事业单位公车改革、公车数量减少</w:t>
      </w:r>
      <w:r>
        <w:rPr>
          <w:rFonts w:hint="eastAsia" w:ascii="仿宋_GB2312" w:eastAsia="仿宋_GB2312"/>
          <w:sz w:val="32"/>
          <w:szCs w:val="32"/>
        </w:rPr>
        <w:t>。其中：因公出国（境）费用</w:t>
      </w:r>
      <w:r>
        <w:rPr>
          <w:rFonts w:hint="eastAsia" w:ascii="仿宋" w:hAnsi="仿宋" w:eastAsia="仿宋"/>
          <w:sz w:val="32"/>
          <w:szCs w:val="32"/>
          <w:lang w:val="en-US" w:eastAsia="zh-CN"/>
        </w:rPr>
        <w:t>0</w:t>
      </w:r>
      <w:r>
        <w:rPr>
          <w:rFonts w:hint="eastAsia" w:ascii="仿宋_GB2312" w:eastAsia="仿宋_GB2312"/>
          <w:sz w:val="32"/>
          <w:szCs w:val="32"/>
        </w:rPr>
        <w:t>万元；公务接待费</w:t>
      </w:r>
      <w:r>
        <w:rPr>
          <w:rFonts w:hint="eastAsia" w:ascii="仿宋" w:hAnsi="仿宋" w:eastAsia="仿宋"/>
          <w:sz w:val="32"/>
          <w:szCs w:val="32"/>
          <w:lang w:val="en-US" w:eastAsia="zh-CN"/>
        </w:rPr>
        <w:t>1.5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公务用车运行维护费</w:t>
      </w:r>
      <w:r>
        <w:rPr>
          <w:rFonts w:hint="eastAsia" w:ascii="仿宋" w:hAnsi="仿宋" w:eastAsia="仿宋"/>
          <w:sz w:val="32"/>
          <w:szCs w:val="32"/>
          <w:lang w:val="en-US" w:eastAsia="zh-CN"/>
        </w:rPr>
        <w:t>4.4</w:t>
      </w:r>
      <w:r>
        <w:rPr>
          <w:rFonts w:hint="eastAsia" w:ascii="仿宋_GB2312" w:eastAsia="仿宋_GB2312"/>
          <w:sz w:val="32"/>
          <w:szCs w:val="32"/>
        </w:rPr>
        <w:t>万元，比上年减少</w:t>
      </w:r>
      <w:r>
        <w:rPr>
          <w:rFonts w:hint="eastAsia" w:ascii="仿宋" w:hAnsi="仿宋" w:eastAsia="仿宋"/>
          <w:sz w:val="32"/>
          <w:szCs w:val="32"/>
          <w:lang w:val="en-US" w:eastAsia="zh-CN"/>
        </w:rPr>
        <w:t>1.4</w:t>
      </w:r>
      <w:r>
        <w:rPr>
          <w:rFonts w:hint="eastAsia" w:ascii="仿宋_GB2312" w:eastAsia="仿宋_GB2312"/>
          <w:sz w:val="32"/>
          <w:szCs w:val="32"/>
        </w:rPr>
        <w:t>万元；原因是</w:t>
      </w:r>
      <w:r>
        <w:rPr>
          <w:rFonts w:hint="eastAsia" w:ascii="仿宋_GB2312" w:eastAsia="仿宋_GB2312"/>
          <w:sz w:val="32"/>
          <w:szCs w:val="32"/>
          <w:lang w:eastAsia="zh-CN"/>
        </w:rPr>
        <w:t>事业单位公车改革、公车数量减少。</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年所属单位的机关运行经费财政拨款预算</w:t>
      </w:r>
      <w:r>
        <w:rPr>
          <w:rFonts w:hint="eastAsia" w:ascii="仿宋_GB2312" w:hAnsi="仿宋" w:eastAsia="仿宋_GB2312"/>
          <w:kern w:val="0"/>
          <w:sz w:val="32"/>
          <w:szCs w:val="32"/>
          <w:lang w:val="en-US" w:eastAsia="zh-CN"/>
        </w:rPr>
        <w:t>36.8078</w:t>
      </w:r>
      <w:r>
        <w:rPr>
          <w:rFonts w:hint="eastAsia" w:ascii="仿宋_GB2312" w:hAnsi="仿宋" w:eastAsia="仿宋_GB2312"/>
          <w:kern w:val="0"/>
          <w:sz w:val="32"/>
          <w:szCs w:val="32"/>
        </w:rPr>
        <w:t>万元，比</w:t>
      </w:r>
      <w:r>
        <w:rPr>
          <w:rFonts w:hint="eastAsia" w:ascii="仿宋_GB2312" w:hAnsi="仿宋" w:eastAsia="仿宋_GB2312"/>
          <w:kern w:val="0"/>
          <w:sz w:val="32"/>
          <w:szCs w:val="32"/>
          <w:lang w:eastAsia="zh-CN"/>
        </w:rPr>
        <w:t>2018</w:t>
      </w:r>
      <w:r>
        <w:rPr>
          <w:rFonts w:hint="eastAsia" w:ascii="仿宋_GB2312" w:hAnsi="仿宋" w:eastAsia="仿宋_GB2312"/>
          <w:kern w:val="0"/>
          <w:sz w:val="32"/>
          <w:szCs w:val="32"/>
        </w:rPr>
        <w:t>年预算增加</w:t>
      </w:r>
      <w:r>
        <w:rPr>
          <w:rFonts w:hint="eastAsia" w:ascii="仿宋_GB2312" w:hAnsi="仿宋" w:eastAsia="仿宋_GB2312"/>
          <w:kern w:val="0"/>
          <w:sz w:val="32"/>
          <w:szCs w:val="32"/>
          <w:lang w:val="en-US" w:eastAsia="zh-CN"/>
        </w:rPr>
        <w:t>10.6</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40.44</w:t>
      </w:r>
      <w:r>
        <w:rPr>
          <w:rFonts w:hint="eastAsia" w:ascii="仿宋_GB2312" w:hAnsi="仿宋" w:eastAsia="仿宋_GB2312"/>
          <w:kern w:val="0"/>
          <w:sz w:val="32"/>
          <w:szCs w:val="32"/>
        </w:rPr>
        <w:t>%,原因</w:t>
      </w:r>
      <w:r>
        <w:rPr>
          <w:rFonts w:hint="eastAsia" w:ascii="仿宋_GB2312" w:hAnsi="仿宋" w:eastAsia="仿宋_GB2312"/>
          <w:kern w:val="0"/>
          <w:sz w:val="32"/>
          <w:szCs w:val="32"/>
          <w:lang w:eastAsia="zh-CN"/>
        </w:rPr>
        <w:t>一是本年度机关运行费增加了车改补贴；二是事业单位公车改革，公车数量减少</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各单位政府采购预算总额</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宋体" w:eastAsia="仿宋_GB2312" w:cs="Times New Roman"/>
          <w:sz w:val="32"/>
          <w:szCs w:val="32"/>
          <w:lang w:val="en-US" w:eastAsia="zh-CN"/>
        </w:rPr>
        <w:t>襄汾县农业农村</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9</w:t>
      </w:r>
      <w:r>
        <w:rPr>
          <w:rFonts w:hint="eastAsia" w:ascii="仿宋_GB2312" w:hAnsi="仿宋" w:eastAsia="仿宋_GB2312"/>
          <w:kern w:val="0"/>
          <w:sz w:val="32"/>
          <w:szCs w:val="32"/>
        </w:rPr>
        <w:t>个。</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楷体" w:eastAsia="仿宋_GB2312"/>
          <w:kern w:val="0"/>
          <w:sz w:val="32"/>
          <w:szCs w:val="32"/>
        </w:rPr>
        <w:t>六、其他说明</w:t>
      </w:r>
      <w:r>
        <w:rPr>
          <w:rFonts w:hint="eastAsia" w:ascii="仿宋_GB2312" w:hAnsi="仿宋" w:eastAsia="仿宋_GB2312"/>
          <w:kern w:val="0"/>
          <w:sz w:val="32"/>
          <w:szCs w:val="32"/>
        </w:rPr>
        <w:t>国有资产占有使用情况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lang w:eastAsia="zh-CN"/>
        </w:rPr>
        <w:t>辆</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widowControl/>
        <w:spacing w:line="560" w:lineRule="exact"/>
        <w:ind w:firstLine="636"/>
        <w:rPr>
          <w:rFonts w:hint="default" w:ascii="仿宋_GB2312" w:hAnsi="仿宋"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6B6C3F"/>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8C393A"/>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C942F5"/>
    <w:rsid w:val="34DE6D61"/>
    <w:rsid w:val="35780C7F"/>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295296"/>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熊猫</cp:lastModifiedBy>
  <cp:lastPrinted>2019-04-04T08:29:44Z</cp:lastPrinted>
  <dcterms:modified xsi:type="dcterms:W3CDTF">2019-04-04T08:34:33Z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