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襄汾县农村社会经济调查队</w:t>
      </w:r>
      <w:r>
        <w:rPr>
          <w:rFonts w:hint="eastAsia" w:ascii="宋体" w:hAnsi="宋体" w:eastAsia="宋体" w:cs="宋体"/>
          <w:b/>
          <w:bCs/>
          <w:kern w:val="0"/>
          <w:sz w:val="44"/>
          <w:szCs w:val="44"/>
        </w:rPr>
        <w:t>2018年度部门预算</w:t>
      </w:r>
      <w:r>
        <w:rPr>
          <w:rFonts w:hint="eastAsia" w:ascii="宋体" w:hAnsi="宋体" w:eastAsia="宋体" w:cs="宋体"/>
          <w:b/>
          <w:bCs/>
          <w:kern w:val="0"/>
          <w:sz w:val="44"/>
          <w:szCs w:val="44"/>
          <w:lang w:eastAsia="zh-CN"/>
        </w:rPr>
        <w:t>公开</w:t>
      </w:r>
    </w:p>
    <w:p>
      <w:pPr>
        <w:widowControl/>
        <w:spacing w:line="560" w:lineRule="exact"/>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第一部分  </w:t>
      </w:r>
      <w:r>
        <w:rPr>
          <w:rFonts w:hint="eastAsia" w:ascii="仿宋_GB2312" w:hAnsi="仿宋_GB2312" w:eastAsia="仿宋_GB2312" w:cs="仿宋_GB2312"/>
          <w:b/>
          <w:bCs/>
          <w:kern w:val="0"/>
          <w:sz w:val="32"/>
          <w:szCs w:val="32"/>
          <w:lang w:eastAsia="zh-CN"/>
        </w:rPr>
        <w:t>襄汾县农村社会经济调查队</w:t>
      </w:r>
      <w:r>
        <w:rPr>
          <w:rFonts w:hint="eastAsia" w:ascii="仿宋_GB2312" w:hAnsi="仿宋_GB2312" w:eastAsia="仿宋_GB2312" w:cs="仿宋_GB2312"/>
          <w:b/>
          <w:bCs/>
          <w:kern w:val="0"/>
          <w:sz w:val="32"/>
          <w:szCs w:val="32"/>
        </w:rPr>
        <w:t>概况</w:t>
      </w:r>
    </w:p>
    <w:p>
      <w:pPr>
        <w:widowControl/>
        <w:spacing w:line="560" w:lineRule="exact"/>
        <w:ind w:firstLine="64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一、本部门职责</w:t>
      </w:r>
      <w:r>
        <w:rPr>
          <w:rFonts w:hint="eastAsia" w:ascii="仿宋_GB2312" w:hAnsi="仿宋_GB2312" w:eastAsia="仿宋_GB2312" w:cs="仿宋_GB2312"/>
          <w:kern w:val="0"/>
          <w:sz w:val="32"/>
          <w:szCs w:val="32"/>
          <w:lang w:eastAsia="zh-CN"/>
        </w:rPr>
        <w:t>：为政府决策及社会需求调查提供社会经济信息。</w:t>
      </w:r>
    </w:p>
    <w:p>
      <w:pPr>
        <w:widowControl/>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二、机构设置情况</w:t>
      </w:r>
      <w:r>
        <w:rPr>
          <w:rFonts w:hint="eastAsia" w:ascii="仿宋_GB2312" w:hAnsi="仿宋_GB2312" w:eastAsia="仿宋_GB2312" w:cs="仿宋_GB2312"/>
          <w:kern w:val="0"/>
          <w:sz w:val="32"/>
          <w:szCs w:val="32"/>
          <w:lang w:eastAsia="zh-CN"/>
        </w:rPr>
        <w:t>：综合股、财务股。</w:t>
      </w:r>
    </w:p>
    <w:p>
      <w:pPr>
        <w:widowControl/>
        <w:spacing w:line="560" w:lineRule="exac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第二部分  </w:t>
      </w:r>
      <w:r>
        <w:rPr>
          <w:rFonts w:hint="eastAsia" w:ascii="仿宋_GB2312" w:hAnsi="仿宋_GB2312" w:eastAsia="仿宋_GB2312" w:cs="仿宋_GB2312"/>
          <w:b/>
          <w:bCs/>
          <w:kern w:val="0"/>
          <w:sz w:val="32"/>
          <w:szCs w:val="32"/>
          <w:lang w:eastAsia="zh-CN"/>
        </w:rPr>
        <w:t>襄汾县农村社会经济调查队</w:t>
      </w:r>
      <w:r>
        <w:rPr>
          <w:rFonts w:hint="eastAsia" w:ascii="仿宋_GB2312" w:hAnsi="仿宋_GB2312" w:eastAsia="仿宋_GB2312" w:cs="仿宋_GB2312"/>
          <w:b/>
          <w:bCs/>
          <w:kern w:val="0"/>
          <w:sz w:val="32"/>
          <w:szCs w:val="32"/>
        </w:rPr>
        <w:t>2018年度部门报表</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襄汾县农村社会经济调查队</w:t>
      </w:r>
      <w:r>
        <w:rPr>
          <w:rFonts w:hint="eastAsia" w:ascii="仿宋_GB2312" w:hAnsi="仿宋_GB2312" w:eastAsia="仿宋_GB2312" w:cs="仿宋_GB2312"/>
          <w:kern w:val="0"/>
          <w:sz w:val="32"/>
          <w:szCs w:val="32"/>
        </w:rPr>
        <w:t>2018年预算收支总表</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襄汾县农村社会经济调查队</w:t>
      </w:r>
      <w:r>
        <w:rPr>
          <w:rFonts w:hint="eastAsia" w:ascii="仿宋_GB2312" w:hAnsi="仿宋_GB2312" w:eastAsia="仿宋_GB2312" w:cs="仿宋_GB2312"/>
          <w:kern w:val="0"/>
          <w:sz w:val="32"/>
          <w:szCs w:val="32"/>
        </w:rPr>
        <w:t>2018年预算收入总表</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襄汾县农村社会经济调查队</w:t>
      </w:r>
      <w:r>
        <w:rPr>
          <w:rFonts w:hint="eastAsia" w:ascii="仿宋_GB2312" w:hAnsi="仿宋_GB2312" w:eastAsia="仿宋_GB2312" w:cs="仿宋_GB2312"/>
          <w:kern w:val="0"/>
          <w:sz w:val="32"/>
          <w:szCs w:val="32"/>
        </w:rPr>
        <w:t>2018年预算支出总表</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四、襄汾县农村社会经济调查队</w:t>
      </w:r>
      <w:r>
        <w:rPr>
          <w:rFonts w:hint="eastAsia" w:ascii="仿宋_GB2312" w:hAnsi="仿宋_GB2312" w:eastAsia="仿宋_GB2312" w:cs="仿宋_GB2312"/>
          <w:kern w:val="0"/>
          <w:sz w:val="32"/>
          <w:szCs w:val="32"/>
        </w:rPr>
        <w:t>2018年财政拨款收支总表</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kern w:val="0"/>
          <w:sz w:val="32"/>
          <w:szCs w:val="32"/>
          <w:lang w:eastAsia="zh-CN"/>
        </w:rPr>
        <w:t>襄汾县农村社会经济调查队</w:t>
      </w:r>
      <w:r>
        <w:rPr>
          <w:rFonts w:hint="eastAsia" w:ascii="仿宋_GB2312" w:hAnsi="仿宋_GB2312" w:eastAsia="仿宋_GB2312" w:cs="仿宋_GB2312"/>
          <w:kern w:val="0"/>
          <w:sz w:val="32"/>
          <w:szCs w:val="32"/>
        </w:rPr>
        <w:t>2018年一般公共预算支出预算表</w:t>
      </w:r>
    </w:p>
    <w:p>
      <w:pPr>
        <w:widowControl/>
        <w:spacing w:line="560" w:lineRule="exact"/>
        <w:ind w:firstLine="64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kern w:val="0"/>
          <w:sz w:val="32"/>
          <w:szCs w:val="32"/>
          <w:lang w:eastAsia="zh-CN"/>
        </w:rPr>
        <w:t>襄汾县农村社会经济调查队</w:t>
      </w:r>
      <w:r>
        <w:rPr>
          <w:rFonts w:hint="eastAsia" w:ascii="仿宋_GB2312" w:hAnsi="仿宋_GB2312" w:eastAsia="仿宋_GB2312" w:cs="仿宋_GB2312"/>
          <w:kern w:val="0"/>
          <w:sz w:val="32"/>
          <w:szCs w:val="32"/>
        </w:rPr>
        <w:t>2018年一般公共预算安排基本支出分经济科目表</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kern w:val="0"/>
          <w:sz w:val="32"/>
          <w:szCs w:val="32"/>
          <w:lang w:eastAsia="zh-CN"/>
        </w:rPr>
        <w:t>襄汾县农村社会经济调查队</w:t>
      </w:r>
      <w:r>
        <w:rPr>
          <w:rFonts w:hint="eastAsia" w:ascii="仿宋_GB2312" w:hAnsi="仿宋_GB2312" w:eastAsia="仿宋_GB2312" w:cs="仿宋_GB2312"/>
          <w:kern w:val="0"/>
          <w:sz w:val="32"/>
          <w:szCs w:val="32"/>
        </w:rPr>
        <w:t>2018年政府性基金预算收入预算表</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w:t>
      </w:r>
      <w:r>
        <w:rPr>
          <w:rFonts w:hint="eastAsia" w:ascii="仿宋_GB2312" w:hAnsi="仿宋_GB2312" w:eastAsia="仿宋_GB2312" w:cs="仿宋_GB2312"/>
          <w:kern w:val="0"/>
          <w:sz w:val="32"/>
          <w:szCs w:val="32"/>
          <w:lang w:eastAsia="zh-CN"/>
        </w:rPr>
        <w:t>襄汾县农村社会经济调查队</w:t>
      </w:r>
      <w:r>
        <w:rPr>
          <w:rFonts w:hint="eastAsia" w:ascii="仿宋_GB2312" w:hAnsi="仿宋_GB2312" w:eastAsia="仿宋_GB2312" w:cs="仿宋_GB2312"/>
          <w:kern w:val="0"/>
          <w:sz w:val="32"/>
          <w:szCs w:val="32"/>
        </w:rPr>
        <w:t>2018年政府性基金预算支出预算表</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w:t>
      </w:r>
      <w:r>
        <w:rPr>
          <w:rFonts w:hint="eastAsia" w:ascii="仿宋_GB2312" w:hAnsi="仿宋_GB2312" w:eastAsia="仿宋_GB2312" w:cs="仿宋_GB2312"/>
          <w:kern w:val="0"/>
          <w:sz w:val="32"/>
          <w:szCs w:val="32"/>
          <w:lang w:eastAsia="zh-CN"/>
        </w:rPr>
        <w:t>襄汾县农村社会经济调查队</w:t>
      </w:r>
      <w:r>
        <w:rPr>
          <w:rFonts w:hint="eastAsia" w:ascii="仿宋_GB2312" w:hAnsi="仿宋_GB2312" w:eastAsia="仿宋_GB2312" w:cs="仿宋_GB2312"/>
          <w:kern w:val="0"/>
          <w:sz w:val="32"/>
          <w:szCs w:val="32"/>
        </w:rPr>
        <w:t>2018年“三公”经费预算财政拨款情况统计表</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w:t>
      </w:r>
      <w:r>
        <w:rPr>
          <w:rFonts w:hint="eastAsia" w:ascii="仿宋_GB2312" w:hAnsi="仿宋_GB2312" w:eastAsia="仿宋_GB2312" w:cs="仿宋_GB2312"/>
          <w:kern w:val="0"/>
          <w:sz w:val="32"/>
          <w:szCs w:val="32"/>
          <w:lang w:eastAsia="zh-CN"/>
        </w:rPr>
        <w:t>襄汾县农村社会经济调查队</w:t>
      </w:r>
      <w:r>
        <w:rPr>
          <w:rFonts w:hint="eastAsia" w:ascii="仿宋_GB2312" w:hAnsi="仿宋_GB2312" w:eastAsia="仿宋_GB2312" w:cs="仿宋_GB2312"/>
          <w:kern w:val="0"/>
          <w:sz w:val="32"/>
          <w:szCs w:val="32"/>
        </w:rPr>
        <w:t>2018年机关运行经费预算财政拨款情况统计表</w:t>
      </w:r>
    </w:p>
    <w:p>
      <w:pPr>
        <w:widowControl/>
        <w:spacing w:line="560" w:lineRule="exact"/>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第三部分  </w:t>
      </w:r>
      <w:r>
        <w:rPr>
          <w:rFonts w:hint="eastAsia" w:ascii="仿宋_GB2312" w:hAnsi="仿宋_GB2312" w:eastAsia="仿宋_GB2312" w:cs="仿宋_GB2312"/>
          <w:b/>
          <w:bCs/>
          <w:kern w:val="0"/>
          <w:sz w:val="32"/>
          <w:szCs w:val="32"/>
          <w:lang w:eastAsia="zh-CN"/>
        </w:rPr>
        <w:t>襄汾县农村社会经济调查队</w:t>
      </w:r>
      <w:r>
        <w:rPr>
          <w:rFonts w:hint="eastAsia" w:ascii="仿宋_GB2312" w:hAnsi="仿宋_GB2312" w:eastAsia="仿宋_GB2312" w:cs="仿宋_GB2312"/>
          <w:b/>
          <w:bCs/>
          <w:kern w:val="0"/>
          <w:sz w:val="32"/>
          <w:szCs w:val="32"/>
        </w:rPr>
        <w:t>2018年度部门预算情况说明</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一、2018年度部门预算数据变动情况及原因</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2018年我单位收入总计97.801244万元，支出97.801244元一般公共预算为97.801244万元，其中：1、一般公共预算基本支出：75.7565万元，其中：“三公”经费0.30万元，；公务用车运行维护费1.40万元;2、项目支出：20.00万元。</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楷体" w:eastAsia="仿宋_GB2312"/>
          <w:kern w:val="0"/>
          <w:sz w:val="32"/>
          <w:szCs w:val="32"/>
          <w:lang w:val="en-US" w:eastAsia="zh-CN"/>
        </w:rPr>
        <w:t>与2017年相比较，一般公共预算基本支出：75.7565万元，5.20331万元，原因：项目预算增加5.00万元。</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二、“三公”经费增减变动原因说明</w:t>
      </w:r>
    </w:p>
    <w:p>
      <w:pPr>
        <w:widowControl/>
        <w:spacing w:line="56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2018年一般公共预算安排的“三公”经费预算</w:t>
      </w:r>
      <w:r>
        <w:rPr>
          <w:rFonts w:hint="eastAsia" w:ascii="仿宋_GB2312" w:hAnsi="仿宋_GB2312" w:eastAsia="仿宋_GB2312" w:cs="仿宋_GB2312"/>
          <w:sz w:val="32"/>
          <w:szCs w:val="32"/>
          <w:lang w:val="en-US" w:eastAsia="zh-CN"/>
        </w:rPr>
        <w:t>1.70</w:t>
      </w:r>
      <w:r>
        <w:rPr>
          <w:rFonts w:hint="eastAsia" w:ascii="仿宋_GB2312" w:hAnsi="仿宋_GB2312" w:eastAsia="仿宋_GB2312" w:cs="仿宋_GB2312"/>
          <w:sz w:val="32"/>
          <w:szCs w:val="32"/>
        </w:rPr>
        <w:t>万元，比2017年减少</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eastAsia="zh-CN"/>
        </w:rPr>
        <w:t>公务运行费比去年</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万元。其中：公务接待费</w:t>
      </w:r>
      <w:r>
        <w:rPr>
          <w:rFonts w:hint="eastAsia" w:ascii="仿宋_GB2312" w:hAnsi="仿宋_GB2312" w:eastAsia="仿宋_GB2312" w:cs="仿宋_GB2312"/>
          <w:sz w:val="32"/>
          <w:szCs w:val="32"/>
          <w:lang w:val="en-US" w:eastAsia="zh-CN"/>
        </w:rPr>
        <w:t>0.30</w:t>
      </w:r>
      <w:r>
        <w:rPr>
          <w:rFonts w:hint="eastAsia" w:ascii="仿宋_GB2312" w:hAnsi="仿宋_GB2312" w:eastAsia="仿宋_GB2312" w:cs="仿宋_GB2312"/>
          <w:sz w:val="32"/>
          <w:szCs w:val="32"/>
        </w:rPr>
        <w:t>万元，</w:t>
      </w:r>
      <w:bookmarkStart w:id="0" w:name="_GoBack"/>
      <w:bookmarkEnd w:id="0"/>
      <w:r>
        <w:rPr>
          <w:rFonts w:hint="eastAsia" w:ascii="仿宋_GB2312" w:hAnsi="仿宋_GB2312" w:eastAsia="仿宋_GB2312" w:cs="仿宋_GB2312"/>
          <w:sz w:val="32"/>
          <w:szCs w:val="32"/>
          <w:lang w:eastAsia="zh-CN"/>
        </w:rPr>
        <w:t>与去年持平</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万元。</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三、机关运行经费增减变动原因说明</w:t>
      </w:r>
    </w:p>
    <w:p>
      <w:pPr>
        <w:widowControl/>
        <w:spacing w:line="560" w:lineRule="exact"/>
        <w:ind w:firstLine="636"/>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襄汾县农村社会经济调查队</w:t>
      </w:r>
      <w:r>
        <w:rPr>
          <w:rFonts w:hint="eastAsia" w:ascii="仿宋_GB2312" w:hAnsi="仿宋_GB2312" w:eastAsia="仿宋_GB2312" w:cs="仿宋_GB2312"/>
          <w:kern w:val="0"/>
          <w:sz w:val="32"/>
          <w:szCs w:val="32"/>
        </w:rPr>
        <w:t>2018年行政参公单位的机关运行经费财政拨款预算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四、政府采购情况</w:t>
      </w:r>
    </w:p>
    <w:p>
      <w:pPr>
        <w:widowControl/>
        <w:spacing w:line="560" w:lineRule="exact"/>
        <w:ind w:left="319" w:leftChars="152" w:firstLine="646" w:firstLineChars="202"/>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2018年</w:t>
      </w:r>
      <w:r>
        <w:rPr>
          <w:rFonts w:hint="eastAsia" w:ascii="仿宋_GB2312" w:hAnsi="仿宋_GB2312" w:eastAsia="仿宋_GB2312" w:cs="仿宋_GB2312"/>
          <w:kern w:val="0"/>
          <w:sz w:val="32"/>
          <w:szCs w:val="32"/>
          <w:lang w:eastAsia="zh-CN"/>
        </w:rPr>
        <w:t>襄汾县农村社会经济调查队</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政府采购</w:t>
      </w:r>
      <w:r>
        <w:rPr>
          <w:rFonts w:hint="eastAsia" w:ascii="仿宋_GB2312" w:hAnsi="仿宋_GB2312" w:eastAsia="仿宋_GB2312" w:cs="仿宋_GB2312"/>
          <w:kern w:val="0"/>
          <w:sz w:val="32"/>
          <w:szCs w:val="32"/>
          <w:lang w:eastAsia="zh-CN"/>
        </w:rPr>
        <w:t>。</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五、绩效管理情况</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w:t>
      </w:r>
      <w:r>
        <w:rPr>
          <w:rFonts w:hint="eastAsia" w:ascii="仿宋_GB2312" w:hAnsi="仿宋_GB2312" w:eastAsia="仿宋_GB2312" w:cs="仿宋_GB2312"/>
          <w:kern w:val="0"/>
          <w:sz w:val="32"/>
          <w:szCs w:val="32"/>
          <w:lang w:eastAsia="zh-CN"/>
        </w:rPr>
        <w:t>襄汾县农村社会经济调查队</w:t>
      </w:r>
      <w:r>
        <w:rPr>
          <w:rFonts w:hint="eastAsia" w:ascii="仿宋_GB2312" w:hAnsi="仿宋_GB2312" w:eastAsia="仿宋_GB2312" w:cs="仿宋_GB2312"/>
          <w:kern w:val="0"/>
          <w:sz w:val="32"/>
          <w:szCs w:val="32"/>
        </w:rPr>
        <w:t>实行绩效目标管理的项目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六、其他说明</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国有资产占有使用情况</w:t>
      </w:r>
    </w:p>
    <w:p>
      <w:pPr>
        <w:widowControl/>
        <w:spacing w:line="560" w:lineRule="exact"/>
        <w:ind w:firstLine="63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1.车辆情况；</w:t>
      </w:r>
      <w:r>
        <w:rPr>
          <w:rFonts w:hint="eastAsia" w:ascii="仿宋_GB2312" w:hAnsi="仿宋_GB2312" w:eastAsia="仿宋_GB2312" w:cs="仿宋_GB2312"/>
          <w:kern w:val="0"/>
          <w:sz w:val="32"/>
          <w:szCs w:val="32"/>
          <w:lang w:val="en-US" w:eastAsia="zh-CN"/>
        </w:rPr>
        <w:t>1辆。</w:t>
      </w:r>
    </w:p>
    <w:p>
      <w:pPr>
        <w:widowControl/>
        <w:spacing w:line="560" w:lineRule="exact"/>
        <w:ind w:firstLine="63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2.房屋情况；</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97.73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平方米，价值185470元。</w:t>
      </w:r>
    </w:p>
    <w:p>
      <w:pPr>
        <w:widowControl/>
        <w:spacing w:line="560" w:lineRule="exact"/>
        <w:ind w:firstLine="63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3.其他国有资产占有使用情况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无。</w:t>
      </w:r>
    </w:p>
    <w:p>
      <w:pPr>
        <w:widowControl/>
        <w:spacing w:line="560" w:lineRule="exact"/>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第四部分  名词解释</w:t>
      </w:r>
    </w:p>
    <w:p>
      <w:pPr>
        <w:widowControl/>
        <w:snapToGrid w:val="0"/>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（一）基本支出：指为保障机构正常运转、完成日常</w:t>
      </w:r>
    </w:p>
    <w:p>
      <w:pPr>
        <w:widowControl/>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工作任务而发生的人员支出和公用支出。</w:t>
      </w:r>
    </w:p>
    <w:p>
      <w:pPr>
        <w:widowControl/>
        <w:snapToGrid w:val="0"/>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（二）项目支出：指在基本支出之外为完成特定行政任</w:t>
      </w:r>
    </w:p>
    <w:p>
      <w:pPr>
        <w:widowControl/>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务和事业发展目标所发生的支出。</w:t>
      </w:r>
    </w:p>
    <w:p>
      <w:pPr>
        <w:widowControl/>
        <w:snapToGrid w:val="0"/>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三公”经费：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（四）机关运行经费：指行政单位和参照公务员法管理的事业单位使用一般公共预算安排的基本支出中的日常公用经费支出。</w:t>
      </w:r>
    </w:p>
    <w:p>
      <w:pPr>
        <w:widowControl/>
        <w:spacing w:line="560" w:lineRule="exact"/>
        <w:jc w:val="both"/>
        <w:rPr>
          <w:rFonts w:hint="eastAsia" w:ascii="仿宋_GB2312" w:hAnsi="仿宋_GB2312" w:eastAsia="仿宋_GB2312" w:cs="仿宋_GB2312"/>
          <w:kern w:val="0"/>
          <w:sz w:val="32"/>
          <w:szCs w:val="32"/>
        </w:rPr>
      </w:pPr>
    </w:p>
    <w:p>
      <w:pPr>
        <w:widowControl/>
        <w:spacing w:line="560" w:lineRule="exact"/>
        <w:jc w:val="both"/>
        <w:rPr>
          <w:rFonts w:hint="eastAsia" w:ascii="仿宋_GB2312" w:hAnsi="仿宋_GB2312" w:eastAsia="仿宋_GB2312" w:cs="仿宋_GB2312"/>
          <w:kern w:val="0"/>
          <w:sz w:val="32"/>
          <w:szCs w:val="32"/>
          <w:lang w:val="en-US" w:eastAsia="zh-CN"/>
        </w:rPr>
      </w:pPr>
    </w:p>
    <w:sectPr>
      <w:headerReference r:id="rId3" w:type="default"/>
      <w:footerReference r:id="rId4" w:type="default"/>
      <w:pgSz w:w="11906" w:h="16838"/>
      <w:pgMar w:top="1440" w:right="1800" w:bottom="1440" w:left="1800"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true"/>
  <w:bordersDoNotSurroundFooter w:val="true"/>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33C23"/>
    <w:rsid w:val="10827967"/>
    <w:rsid w:val="1DA00DC1"/>
    <w:rsid w:val="21A374AE"/>
    <w:rsid w:val="24122DFC"/>
    <w:rsid w:val="24D734EE"/>
    <w:rsid w:val="2556623A"/>
    <w:rsid w:val="31CA3EE9"/>
    <w:rsid w:val="3A1F665C"/>
    <w:rsid w:val="44024473"/>
    <w:rsid w:val="44B8486B"/>
    <w:rsid w:val="454F2932"/>
    <w:rsid w:val="4EC2211C"/>
    <w:rsid w:val="570F5765"/>
    <w:rsid w:val="5A22632C"/>
    <w:rsid w:val="5D40496B"/>
    <w:rsid w:val="5D9E3091"/>
    <w:rsid w:val="62591752"/>
    <w:rsid w:val="671257E4"/>
    <w:rsid w:val="712078C4"/>
    <w:rsid w:val="743B74BB"/>
    <w:rsid w:val="7B635C63"/>
    <w:rsid w:val="7EFD2468"/>
    <w:rsid w:val="7F76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2018-04-23T22:54:00Z</cp:lastPrinted>
  <dcterms:modified xsi:type="dcterms:W3CDTF">2025-02-13T16:46:37Z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