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shd w:val="clear" w:color="auto" w:fill="FFFFFF"/>
        <w:tabs>
          <w:tab w:val="left" w:pos="7200"/>
          <w:tab w:val="left" w:pos="7560"/>
        </w:tabs>
        <w:spacing w:line="560" w:lineRule="exact"/>
        <w:jc w:val="left"/>
        <w:rPr>
          <w:rFonts w:hint="eastAsia" w:ascii="宋体" w:hAnsi="宋体" w:eastAsia="宋体" w:cs="宋体"/>
          <w:kern w:val="0"/>
          <w:sz w:val="32"/>
          <w:szCs w:val="32"/>
        </w:rPr>
      </w:pPr>
      <w:r>
        <w:rPr>
          <w:rFonts w:hint="eastAsia" w:ascii="宋体" w:hAnsi="宋体" w:eastAsia="宋体" w:cs="宋体"/>
          <w:kern w:val="0"/>
          <w:sz w:val="32"/>
          <w:szCs w:val="32"/>
        </w:rPr>
        <w:t>附件1</w:t>
      </w:r>
    </w:p>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lang w:eastAsia="zh-CN"/>
        </w:rPr>
      </w:pPr>
      <w:r>
        <w:rPr>
          <w:rFonts w:hint="eastAsia" w:ascii="宋体" w:hAnsi="宋体" w:eastAsia="宋体" w:cs="宋体"/>
          <w:b/>
          <w:bCs/>
          <w:kern w:val="0"/>
          <w:sz w:val="44"/>
          <w:szCs w:val="44"/>
          <w:lang w:eastAsia="zh-CN"/>
        </w:rPr>
        <w:t>襄汾县中小企业服务中心</w:t>
      </w: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rPr>
        <w:t>2018年度部门预算</w:t>
      </w:r>
      <w:r>
        <w:rPr>
          <w:rFonts w:hint="eastAsia" w:ascii="宋体" w:hAnsi="宋体" w:eastAsia="宋体" w:cs="宋体"/>
          <w:b/>
          <w:bCs/>
          <w:kern w:val="0"/>
          <w:sz w:val="44"/>
          <w:szCs w:val="44"/>
          <w:lang w:eastAsia="zh-CN"/>
        </w:rPr>
        <w:t>公开</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一、本部门职责</w:t>
      </w:r>
    </w:p>
    <w:p>
      <w:pPr>
        <w:ind w:firstLine="64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对全县各种经济成份的中小企业实行</w:t>
      </w:r>
      <w:r>
        <w:rPr>
          <w:rFonts w:hint="eastAsia" w:ascii="仿宋_GB2312" w:hAnsi="仿宋_GB2312" w:eastAsia="仿宋_GB2312" w:cs="仿宋_GB2312"/>
          <w:sz w:val="32"/>
          <w:szCs w:val="32"/>
          <w:lang w:val="en-US" w:eastAsia="zh-CN"/>
        </w:rPr>
        <w:t>规划、指导、协调、监督和服务</w:t>
      </w:r>
      <w:r>
        <w:rPr>
          <w:rFonts w:hint="eastAsia" w:ascii="仿宋_GB2312" w:hAnsi="仿宋_GB2312" w:eastAsia="仿宋_GB2312" w:cs="仿宋_GB2312"/>
          <w:b w:val="0"/>
          <w:bCs w:val="0"/>
          <w:sz w:val="32"/>
          <w:szCs w:val="32"/>
          <w:lang w:val="en-US" w:eastAsia="zh-CN"/>
        </w:rPr>
        <w:t>；研究提出改善中小企业融资环境的建议，协调解决中小企业融资的有关重大问题；参与各级政府各类扶持资金的管理使用，并向有关部门推荐、申报相关资金项目；负责指导中小企业服务体系建设，并指导、规范为中小企业提供服务的各类中介组织；指导全县中小企业经营管理人员和职工的教育培训，人才、智力引进工作；配合安全生产管理部门做好所辖范围内的中小企业安全检查工作。根据县政府2016年1月28日第45次常务会议纪要精神负责乡镇企业供销公司职工转岗安置后续事项。</w:t>
      </w:r>
    </w:p>
    <w:p>
      <w:pPr>
        <w:widowControl/>
        <w:numPr>
          <w:ilvl w:val="0"/>
          <w:numId w:val="1"/>
        </w:num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机构设置情况</w:t>
      </w:r>
    </w:p>
    <w:p>
      <w:pPr>
        <w:ind w:firstLine="640"/>
        <w:rPr>
          <w:rFonts w:hint="eastAsia" w:ascii="仿宋_GB2312" w:hAnsi="仿宋_GB2312" w:eastAsia="仿宋_GB2312" w:cs="仿宋_GB2312"/>
          <w:b/>
          <w:sz w:val="44"/>
          <w:szCs w:val="44"/>
          <w:lang w:val="en-US" w:eastAsia="zh-CN"/>
        </w:rPr>
      </w:pPr>
      <w:r>
        <w:rPr>
          <w:rFonts w:hint="eastAsia" w:ascii="仿宋_GB2312" w:hAnsi="仿宋_GB2312" w:eastAsia="仿宋_GB2312" w:cs="仿宋_GB2312"/>
          <w:sz w:val="32"/>
          <w:szCs w:val="32"/>
          <w:lang w:eastAsia="zh-CN"/>
        </w:rPr>
        <w:t>襄汾县中小企业服务中心下</w:t>
      </w:r>
      <w:r>
        <w:rPr>
          <w:rFonts w:hint="eastAsia" w:ascii="仿宋_GB2312" w:hAnsi="仿宋_GB2312" w:eastAsia="仿宋_GB2312" w:cs="仿宋_GB2312"/>
          <w:sz w:val="32"/>
          <w:szCs w:val="32"/>
          <w:lang w:val="en-US" w:eastAsia="zh-CN"/>
        </w:rPr>
        <w:t>设：产业指导股、统计规划股、政策法规股、办公室、财务室、安全生产检查大队、中小企业培训中心。</w:t>
      </w:r>
      <w:r>
        <w:rPr>
          <w:rFonts w:hint="eastAsia" w:ascii="仿宋_GB2312" w:hAnsi="仿宋_GB2312" w:eastAsia="仿宋_GB2312" w:cs="仿宋_GB2312"/>
          <w:b/>
          <w:sz w:val="44"/>
          <w:szCs w:val="44"/>
          <w:lang w:val="en-US" w:eastAsia="zh-CN"/>
        </w:rPr>
        <w:t xml:space="preserve"> </w:t>
      </w:r>
    </w:p>
    <w:p>
      <w:pPr>
        <w:widowControl/>
        <w:numPr>
          <w:ilvl w:val="0"/>
          <w:numId w:val="0"/>
        </w:numPr>
        <w:spacing w:line="560" w:lineRule="exact"/>
        <w:rPr>
          <w:rFonts w:hint="eastAsia" w:ascii="仿宋_GB2312" w:hAnsi="仿宋_GB2312" w:eastAsia="仿宋_GB2312" w:cs="仿宋_GB2312"/>
          <w:kern w:val="0"/>
          <w:sz w:val="32"/>
          <w:szCs w:val="32"/>
          <w:lang w:val="en-US" w:eastAsia="zh-CN"/>
        </w:rPr>
      </w:pPr>
    </w:p>
    <w:p>
      <w:pPr>
        <w:widowControl/>
        <w:numPr>
          <w:ilvl w:val="0"/>
          <w:numId w:val="0"/>
        </w:numPr>
        <w:spacing w:line="560" w:lineRule="exact"/>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 xml:space="preserve">        </w:t>
      </w:r>
    </w:p>
    <w:p>
      <w:pPr>
        <w:widowControl/>
        <w:spacing w:line="560" w:lineRule="exact"/>
        <w:jc w:val="center"/>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第二部分  2018年度部门预算报表</w:t>
      </w:r>
    </w:p>
    <w:p>
      <w:pPr>
        <w:widowControl/>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2018年预算收支总表</w:t>
      </w:r>
    </w:p>
    <w:p>
      <w:pPr>
        <w:widowControl/>
        <w:spacing w:line="560" w:lineRule="exact"/>
        <w:ind w:left="636" w:leftChars="303"/>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2018年预算收入总表</w:t>
      </w:r>
    </w:p>
    <w:p>
      <w:pPr>
        <w:widowControl/>
        <w:spacing w:line="560" w:lineRule="exact"/>
        <w:ind w:left="636" w:leftChars="303"/>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2018年预算支出总表</w:t>
      </w:r>
    </w:p>
    <w:p>
      <w:pPr>
        <w:widowControl/>
        <w:spacing w:line="560" w:lineRule="exact"/>
        <w:ind w:left="636" w:leftChars="303"/>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w:t>
      </w:r>
      <w:r>
        <w:rPr>
          <w:rFonts w:hint="eastAsia" w:ascii="仿宋_GB2312" w:hAnsi="仿宋_GB2312" w:eastAsia="仿宋_GB2312" w:cs="仿宋_GB2312"/>
          <w:kern w:val="0"/>
          <w:sz w:val="32"/>
          <w:szCs w:val="32"/>
          <w:lang w:val="en-US" w:eastAsia="zh-CN"/>
        </w:rPr>
        <w:t>8</w:t>
      </w:r>
      <w:r>
        <w:rPr>
          <w:rFonts w:hint="eastAsia" w:ascii="仿宋_GB2312" w:hAnsi="仿宋_GB2312" w:eastAsia="仿宋_GB2312" w:cs="仿宋_GB2312"/>
          <w:kern w:val="0"/>
          <w:sz w:val="32"/>
          <w:szCs w:val="32"/>
        </w:rPr>
        <w:t>年财政拨款收支总</w:t>
      </w:r>
    </w:p>
    <w:p>
      <w:pPr>
        <w:widowControl/>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表</w:t>
      </w:r>
    </w:p>
    <w:p>
      <w:pPr>
        <w:widowControl/>
        <w:spacing w:line="560" w:lineRule="exact"/>
        <w:ind w:left="636" w:leftChars="303"/>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五、</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2018年一般公共预算支</w:t>
      </w:r>
    </w:p>
    <w:p>
      <w:pPr>
        <w:widowControl/>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出预算表</w:t>
      </w:r>
    </w:p>
    <w:p>
      <w:pPr>
        <w:widowControl/>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六、</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2018年一般公共预算安排基本支出分经济科目表</w:t>
      </w:r>
    </w:p>
    <w:p>
      <w:pPr>
        <w:widowControl/>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七、</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2018年政府性基金预算收入预算表</w:t>
      </w:r>
    </w:p>
    <w:p>
      <w:pPr>
        <w:widowControl/>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八、</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2018年政府性基金预算支出预算表</w:t>
      </w:r>
    </w:p>
    <w:p>
      <w:pPr>
        <w:widowControl/>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九、</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2018年“三公”经费预算财政拨款情况统计表</w:t>
      </w:r>
    </w:p>
    <w:p>
      <w:pPr>
        <w:widowControl/>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十、</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2018年机关运行经费预算财政拨款情况统计表</w:t>
      </w:r>
    </w:p>
    <w:p>
      <w:pPr>
        <w:widowControl/>
        <w:spacing w:line="560" w:lineRule="exact"/>
        <w:jc w:val="center"/>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第三部分  2018年度部门预算情况说明</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一、2018年度部门预算数据变动情况及原因</w:t>
      </w:r>
    </w:p>
    <w:p>
      <w:pPr>
        <w:widowControl/>
        <w:spacing w:line="560" w:lineRule="exact"/>
        <w:ind w:firstLine="636"/>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2018年襄汾县中小企业服务中心收入总计:971.332516万元，其中：财政拨款收入971.332516万元，支出总计971.332516万元，其中：基本支出377.632516万元，项目支出593.7万元。</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二、“三公”经费增减变动原因说明</w:t>
      </w:r>
    </w:p>
    <w:p>
      <w:pPr>
        <w:widowControl/>
        <w:spacing w:line="560" w:lineRule="exact"/>
        <w:ind w:firstLine="63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2018年一般公共预算安排的“三公”经费预算</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万元，比2017年减少</w:t>
      </w:r>
      <w:r>
        <w:rPr>
          <w:rFonts w:hint="eastAsia" w:ascii="仿宋_GB2312" w:hAnsi="仿宋_GB2312" w:eastAsia="仿宋_GB2312" w:cs="仿宋_GB2312"/>
          <w:sz w:val="32"/>
          <w:szCs w:val="32"/>
          <w:lang w:val="en-US" w:eastAsia="zh-CN"/>
        </w:rPr>
        <w:t>1.6</w:t>
      </w:r>
      <w:r>
        <w:rPr>
          <w:rFonts w:hint="eastAsia" w:ascii="仿宋_GB2312" w:hAnsi="仿宋_GB2312" w:eastAsia="仿宋_GB2312" w:cs="仿宋_GB2312"/>
          <w:sz w:val="32"/>
          <w:szCs w:val="32"/>
        </w:rPr>
        <w:t>万元，原因是公务用车运行维护费</w:t>
      </w:r>
      <w:r>
        <w:rPr>
          <w:rFonts w:hint="eastAsia" w:ascii="仿宋_GB2312" w:hAnsi="仿宋_GB2312" w:eastAsia="仿宋_GB2312" w:cs="仿宋_GB2312"/>
          <w:sz w:val="32"/>
          <w:szCs w:val="32"/>
          <w:lang w:eastAsia="zh-CN"/>
        </w:rPr>
        <w:t>预算减少</w:t>
      </w:r>
      <w:r>
        <w:rPr>
          <w:rFonts w:hint="eastAsia" w:ascii="仿宋_GB2312" w:hAnsi="仿宋_GB2312" w:eastAsia="仿宋_GB2312" w:cs="仿宋_GB2312"/>
          <w:sz w:val="32"/>
          <w:szCs w:val="32"/>
        </w:rPr>
        <w:t>。其中：因公出国（境）费用</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万元，比上年减少（增加）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万元；公务接待费</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万元，比上年减少（增加）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万元，公务用车运行维护费</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万元，比上年减少</w:t>
      </w:r>
      <w:r>
        <w:rPr>
          <w:rFonts w:hint="eastAsia" w:ascii="仿宋_GB2312" w:hAnsi="仿宋_GB2312" w:eastAsia="仿宋_GB2312" w:cs="仿宋_GB2312"/>
          <w:sz w:val="32"/>
          <w:szCs w:val="32"/>
          <w:lang w:val="en-US" w:eastAsia="zh-CN"/>
        </w:rPr>
        <w:t>1.6</w:t>
      </w:r>
      <w:r>
        <w:rPr>
          <w:rFonts w:hint="eastAsia" w:ascii="仿宋_GB2312" w:hAnsi="仿宋_GB2312" w:eastAsia="仿宋_GB2312" w:cs="仿宋_GB2312"/>
          <w:sz w:val="32"/>
          <w:szCs w:val="32"/>
        </w:rPr>
        <w:t>万元；公务用车购置费</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元，比上年减少（增加）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三、机关运行经费增减变动原因说明</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2018年机关运行经费财政拨款预算</w:t>
      </w:r>
      <w:r>
        <w:rPr>
          <w:rFonts w:hint="eastAsia" w:ascii="仿宋_GB2312" w:hAnsi="仿宋_GB2312" w:eastAsia="仿宋_GB2312" w:cs="仿宋_GB2312"/>
          <w:kern w:val="0"/>
          <w:sz w:val="32"/>
          <w:szCs w:val="32"/>
          <w:lang w:val="en-US" w:eastAsia="zh-CN"/>
        </w:rPr>
        <w:t>14.9029</w:t>
      </w:r>
      <w:r>
        <w:rPr>
          <w:rFonts w:hint="eastAsia" w:ascii="仿宋_GB2312" w:hAnsi="仿宋_GB2312" w:eastAsia="仿宋_GB2312" w:cs="仿宋_GB2312"/>
          <w:kern w:val="0"/>
          <w:sz w:val="32"/>
          <w:szCs w:val="32"/>
        </w:rPr>
        <w:t>万元，比2017年预算增加</w:t>
      </w:r>
      <w:r>
        <w:rPr>
          <w:rFonts w:hint="eastAsia" w:ascii="仿宋_GB2312" w:hAnsi="仿宋_GB2312" w:eastAsia="仿宋_GB2312" w:cs="仿宋_GB2312"/>
          <w:kern w:val="0"/>
          <w:sz w:val="32"/>
          <w:szCs w:val="32"/>
          <w:lang w:val="en-US" w:eastAsia="zh-CN"/>
        </w:rPr>
        <w:t>3.6811</w:t>
      </w:r>
      <w:r>
        <w:rPr>
          <w:rFonts w:hint="eastAsia" w:ascii="仿宋_GB2312" w:hAnsi="仿宋_GB2312" w:eastAsia="仿宋_GB2312" w:cs="仿宋_GB2312"/>
          <w:kern w:val="0"/>
          <w:sz w:val="32"/>
          <w:szCs w:val="32"/>
        </w:rPr>
        <w:t>万元，原因是</w:t>
      </w:r>
      <w:r>
        <w:rPr>
          <w:rFonts w:hint="eastAsia" w:ascii="仿宋_GB2312" w:hAnsi="仿宋_GB2312" w:eastAsia="仿宋_GB2312" w:cs="仿宋_GB2312"/>
          <w:kern w:val="0"/>
          <w:sz w:val="32"/>
          <w:szCs w:val="32"/>
          <w:lang w:eastAsia="zh-CN"/>
        </w:rPr>
        <w:t>增加了行政人员的车改补贴及</w:t>
      </w:r>
      <w:r>
        <w:rPr>
          <w:rFonts w:hint="eastAsia" w:ascii="仿宋_GB2312" w:hAnsi="仿宋_GB2312" w:eastAsia="仿宋_GB2312" w:cs="仿宋_GB2312"/>
          <w:b w:val="0"/>
          <w:i w:val="0"/>
          <w:caps w:val="0"/>
          <w:color w:val="000000"/>
          <w:spacing w:val="0"/>
          <w:sz w:val="27"/>
          <w:szCs w:val="27"/>
        </w:rPr>
        <w:t>降低了公务用车运行维护费标准</w:t>
      </w:r>
      <w:r>
        <w:rPr>
          <w:rFonts w:hint="eastAsia" w:ascii="仿宋_GB2312" w:hAnsi="仿宋_GB2312" w:eastAsia="仿宋_GB2312" w:cs="仿宋_GB2312"/>
          <w:kern w:val="0"/>
          <w:sz w:val="32"/>
          <w:szCs w:val="32"/>
        </w:rPr>
        <w:t>。</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四、政府采购情况</w:t>
      </w:r>
    </w:p>
    <w:p>
      <w:pPr>
        <w:widowControl/>
        <w:spacing w:line="560" w:lineRule="exact"/>
        <w:ind w:firstLine="636"/>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rPr>
        <w:t>2018年</w:t>
      </w:r>
      <w:r>
        <w:rPr>
          <w:rFonts w:hint="eastAsia" w:ascii="仿宋_GB2312" w:hAnsi="仿宋_GB2312" w:eastAsia="仿宋_GB2312" w:cs="仿宋_GB2312"/>
          <w:kern w:val="0"/>
          <w:sz w:val="32"/>
          <w:szCs w:val="32"/>
          <w:lang w:eastAsia="zh-CN"/>
        </w:rPr>
        <w:t>襄汾县中小企业服务中心无</w:t>
      </w:r>
      <w:r>
        <w:rPr>
          <w:rFonts w:hint="eastAsia" w:ascii="仿宋_GB2312" w:hAnsi="仿宋_GB2312" w:eastAsia="仿宋_GB2312" w:cs="仿宋_GB2312"/>
          <w:kern w:val="0"/>
          <w:sz w:val="32"/>
          <w:szCs w:val="32"/>
        </w:rPr>
        <w:t>政府采购</w:t>
      </w:r>
      <w:r>
        <w:rPr>
          <w:rFonts w:hint="eastAsia" w:ascii="仿宋_GB2312" w:hAnsi="仿宋_GB2312" w:eastAsia="仿宋_GB2312" w:cs="仿宋_GB2312"/>
          <w:kern w:val="0"/>
          <w:sz w:val="32"/>
          <w:szCs w:val="32"/>
          <w:lang w:eastAsia="zh-CN"/>
        </w:rPr>
        <w:t>情况。</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五、绩效管理情况</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2018年</w:t>
      </w:r>
      <w:r>
        <w:rPr>
          <w:rFonts w:hint="eastAsia" w:ascii="仿宋_GB2312" w:hAnsi="仿宋_GB2312" w:eastAsia="仿宋_GB2312" w:cs="仿宋_GB2312"/>
          <w:kern w:val="0"/>
          <w:sz w:val="32"/>
          <w:szCs w:val="32"/>
          <w:lang w:eastAsia="zh-CN"/>
        </w:rPr>
        <w:t>襄汾县中小企业服务中心</w:t>
      </w:r>
      <w:r>
        <w:rPr>
          <w:rFonts w:hint="eastAsia" w:ascii="仿宋_GB2312" w:hAnsi="仿宋_GB2312" w:eastAsia="仿宋_GB2312" w:cs="仿宋_GB2312"/>
          <w:kern w:val="0"/>
          <w:sz w:val="32"/>
          <w:szCs w:val="32"/>
        </w:rPr>
        <w:t>实行绩效目标管理的项目</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个。</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六、其他说明</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国有资产占有使用情况</w:t>
      </w:r>
    </w:p>
    <w:p>
      <w:pPr>
        <w:widowControl/>
        <w:numPr>
          <w:ilvl w:val="0"/>
          <w:numId w:val="2"/>
        </w:numPr>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车辆情况；</w:t>
      </w:r>
      <w:r>
        <w:rPr>
          <w:rFonts w:hint="eastAsia" w:ascii="仿宋_GB2312" w:hAnsi="仿宋_GB2312" w:eastAsia="仿宋_GB2312" w:cs="仿宋_GB2312"/>
          <w:kern w:val="0"/>
          <w:sz w:val="32"/>
          <w:szCs w:val="32"/>
          <w:lang w:eastAsia="zh-CN"/>
        </w:rPr>
        <w:t>一辆公务用车</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2.房屋情况；</w:t>
      </w:r>
      <w:r>
        <w:rPr>
          <w:rFonts w:hint="eastAsia" w:ascii="仿宋_GB2312" w:hAnsi="仿宋_GB2312" w:eastAsia="仿宋_GB2312" w:cs="仿宋_GB2312"/>
          <w:kern w:val="0"/>
          <w:sz w:val="32"/>
          <w:szCs w:val="32"/>
          <w:lang w:eastAsia="zh-CN"/>
        </w:rPr>
        <w:t>无</w:t>
      </w:r>
    </w:p>
    <w:p>
      <w:pPr>
        <w:widowControl/>
        <w:spacing w:line="560" w:lineRule="exact"/>
        <w:ind w:firstLine="636"/>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（三）其他</w:t>
      </w:r>
    </w:p>
    <w:p>
      <w:pPr>
        <w:widowControl/>
        <w:spacing w:line="560" w:lineRule="exact"/>
        <w:jc w:val="center"/>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第四部分  名词解释</w:t>
      </w:r>
    </w:p>
    <w:p>
      <w:pPr>
        <w:widowControl/>
        <w:snapToGrid w:val="0"/>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（一）基本支出：指为保障机构正常运转、完成日常</w:t>
      </w:r>
    </w:p>
    <w:p>
      <w:pPr>
        <w:widowControl/>
        <w:snapToGrid w:val="0"/>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工作任务而发生的人员支出和公用支出。</w:t>
      </w:r>
    </w:p>
    <w:p>
      <w:pPr>
        <w:widowControl/>
        <w:snapToGrid w:val="0"/>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（二）项目支出：指在基本支出之外为完成特定行政任</w:t>
      </w:r>
    </w:p>
    <w:p>
      <w:pPr>
        <w:widowControl/>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务和事业发展目标所发生的支出。</w:t>
      </w:r>
    </w:p>
    <w:p>
      <w:pPr>
        <w:widowControl/>
        <w:snapToGrid w:val="0"/>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三公”经费：指用一般公共预算安排的因公出国（境）费、公务用车购置及运行费和公务接待费。其中，因公出国（境）费反映单位公务出国（境）的国际旅费、国外城市间交通费、住宿费、伙食费、培训费、公杂费等支出；公务用车购置费反映公务用车车辆购置支出（含车辆购置税）；公务用车运行维护费反映单位按规定保留的公务用车燃料费、维修费、过路过桥费、保险费、安全奖励费用等支出；公务接待费反映单位按规定开支的各类公务接待（含外宾接待）支出。</w:t>
      </w:r>
    </w:p>
    <w:p>
      <w:pPr>
        <w:widowControl/>
        <w:snapToGrid w:val="0"/>
        <w:spacing w:line="560" w:lineRule="exact"/>
        <w:ind w:firstLine="64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（四）机关运行经费：指行政单位和参照公务员法管理的事业单位使用一般公共预算安排的基本支出中的日常公用经费支</w:t>
      </w:r>
      <w:bookmarkStart w:id="0" w:name="_GoBack"/>
      <w:bookmarkEnd w:id="0"/>
      <w:r>
        <w:rPr>
          <w:rFonts w:hint="eastAsia" w:ascii="仿宋_GB2312" w:hAnsi="仿宋_GB2312" w:eastAsia="仿宋_GB2312" w:cs="仿宋_GB2312"/>
          <w:kern w:val="0"/>
          <w:sz w:val="32"/>
          <w:szCs w:val="32"/>
        </w:rPr>
        <w:t>出。</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楷体">
    <w:altName w:val="楷体_GB2312"/>
    <w:panose1 w:val="02010609060101010101"/>
    <w:charset w:val="86"/>
    <w:family w:val="auto"/>
    <w:pitch w:val="default"/>
    <w:sig w:usb0="00000000" w:usb1="00000000" w:usb2="00000016" w:usb3="00000000" w:csb0="00040001" w:csb1="00000000"/>
  </w:font>
  <w:font w:name="仿宋">
    <w:altName w:val="宋体"/>
    <w:panose1 w:val="02010609060101010101"/>
    <w:charset w:val="86"/>
    <w:family w:val="modern"/>
    <w:pitch w:val="default"/>
    <w:sig w:usb0="00000000" w:usb1="00000000"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1904" w:h="376" w:hRule="exact" w:wrap="around" w:vAnchor="text" w:hAnchor="page" w:x="8518" w:y="11"/>
      <w:ind w:firstLine="560" w:firstLineChars="200"/>
      <w:rPr>
        <w:rStyle w:val="6"/>
        <w:rFonts w:hint="eastAsia" w:ascii="宋体" w:hAnsi="宋体"/>
        <w:sz w:val="28"/>
        <w:szCs w:val="28"/>
      </w:rPr>
    </w:pPr>
    <w:r>
      <w:rPr>
        <w:rStyle w:val="6"/>
        <w:rFonts w:hint="eastAsia" w:ascii="宋体" w:hAnsi="宋体"/>
        <w:sz w:val="28"/>
        <w:szCs w:val="28"/>
      </w:rPr>
      <w:t xml:space="preserve">— </w:t>
    </w:r>
    <w:r>
      <w:rPr>
        <w:rFonts w:ascii="宋体" w:hAnsi="宋体"/>
        <w:sz w:val="28"/>
        <w:szCs w:val="28"/>
      </w:rPr>
      <w:fldChar w:fldCharType="begin"/>
    </w:r>
    <w:r>
      <w:rPr>
        <w:rStyle w:val="6"/>
        <w:rFonts w:ascii="宋体" w:hAnsi="宋体"/>
        <w:sz w:val="28"/>
        <w:szCs w:val="28"/>
      </w:rPr>
      <w:instrText xml:space="preserve">PAGE  </w:instrText>
    </w:r>
    <w:r>
      <w:rPr>
        <w:rFonts w:ascii="宋体" w:hAnsi="宋体"/>
        <w:sz w:val="28"/>
        <w:szCs w:val="28"/>
      </w:rPr>
      <w:fldChar w:fldCharType="separate"/>
    </w:r>
    <w:r>
      <w:rPr>
        <w:rStyle w:val="6"/>
        <w:rFonts w:ascii="宋体" w:hAnsi="宋体"/>
        <w:sz w:val="28"/>
        <w:szCs w:val="28"/>
      </w:rPr>
      <w:t>1</w:t>
    </w:r>
    <w:r>
      <w:rPr>
        <w:rFonts w:ascii="宋体" w:hAnsi="宋体"/>
        <w:sz w:val="28"/>
        <w:szCs w:val="28"/>
      </w:rPr>
      <w:fldChar w:fldCharType="end"/>
    </w:r>
    <w:r>
      <w:rPr>
        <w:rStyle w:val="6"/>
        <w:rFonts w:hint="eastAsia" w:ascii="宋体" w:hAnsi="宋体"/>
        <w:sz w:val="28"/>
        <w:szCs w:val="28"/>
      </w:rPr>
      <w:t xml:space="preserve"> —</w:t>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0EB8CC"/>
    <w:multiLevelType w:val="singleLevel"/>
    <w:tmpl w:val="320EB8CC"/>
    <w:lvl w:ilvl="0" w:tentative="0">
      <w:start w:val="2"/>
      <w:numFmt w:val="chineseCounting"/>
      <w:suff w:val="nothing"/>
      <w:lvlText w:val="%1、"/>
      <w:lvlJc w:val="left"/>
      <w:rPr>
        <w:rFonts w:hint="eastAsia"/>
      </w:rPr>
    </w:lvl>
  </w:abstractNum>
  <w:abstractNum w:abstractNumId="1">
    <w:nsid w:val="6E3F2F51"/>
    <w:multiLevelType w:val="singleLevel"/>
    <w:tmpl w:val="6E3F2F51"/>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7332502"/>
    <w:rsid w:val="10797886"/>
    <w:rsid w:val="260C101A"/>
    <w:rsid w:val="31CA3EE9"/>
    <w:rsid w:val="3B595308"/>
    <w:rsid w:val="41F02FB6"/>
    <w:rsid w:val="44B8486B"/>
    <w:rsid w:val="45295AAC"/>
    <w:rsid w:val="5A22632C"/>
    <w:rsid w:val="5AEB4DA3"/>
    <w:rsid w:val="5FE1179D"/>
    <w:rsid w:val="79425E92"/>
    <w:rsid w:val="7E3A3F26"/>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link w:val="5"/>
    <w:semiHidden/>
    <w:uiPriority w:val="0"/>
    <w:rPr>
      <w:rFonts w:ascii="Times New Roman" w:hAnsi="Times New Roman"/>
      <w:szCs w:val="24"/>
    </w:rPr>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5">
    <w:name w:val="Char Char Char Char Char Char Char"/>
    <w:basedOn w:val="1"/>
    <w:link w:val="4"/>
    <w:qFormat/>
    <w:uiPriority w:val="0"/>
    <w:rPr>
      <w:rFonts w:ascii="Times New Roman" w:hAnsi="Times New Roman"/>
      <w:szCs w:val="24"/>
    </w:rPr>
  </w:style>
  <w:style w:type="character" w:styleId="6">
    <w:name w:val="page number"/>
    <w:basedOn w:val="4"/>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Administrator.PC-20180123RJTY</dc:creator>
  <cp:lastModifiedBy>Administrator</cp:lastModifiedBy>
  <cp:lastPrinted>2018-05-15T14:37:00Z</cp:lastPrinted>
  <dcterms:modified xsi:type="dcterms:W3CDTF">2018-05-17T02:17:19Z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2052-10.1.0.6206</vt:lpwstr>
  </property>
</Properties>
</file>