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7200"/>
          <w:tab w:val="left" w:pos="7560"/>
        </w:tabs>
        <w:kinsoku/>
        <w:wordWrap/>
        <w:overflowPunct/>
        <w:topLinePunct w:val="0"/>
        <w:autoSpaceDE/>
        <w:autoSpaceDN/>
        <w:bidi w:val="0"/>
        <w:adjustRightInd/>
        <w:spacing w:line="600" w:lineRule="exact"/>
        <w:jc w:val="left"/>
        <w:textAlignment w:val="auto"/>
        <w:outlineLvl w:val="9"/>
        <w:rPr>
          <w:rFonts w:hint="eastAsia" w:ascii="仿宋_GB2312" w:hAnsi="宋体" w:eastAsia="仿宋_GB2312" w:cs="宋体"/>
          <w:kern w:val="0"/>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财政</w:t>
      </w:r>
      <w:r>
        <w:rPr>
          <w:rFonts w:hint="eastAsia" w:ascii="宋体" w:hAnsi="宋体" w:eastAsia="宋体" w:cs="宋体"/>
          <w:b/>
          <w:bCs/>
          <w:kern w:val="0"/>
          <w:sz w:val="44"/>
          <w:szCs w:val="44"/>
        </w:rPr>
        <w:t>局2018年度部门预算</w:t>
      </w:r>
      <w:r>
        <w:rPr>
          <w:rFonts w:hint="eastAsia" w:ascii="宋体" w:hAnsi="宋体" w:eastAsia="宋体" w:cs="宋体"/>
          <w:b/>
          <w:bCs/>
          <w:kern w:val="0"/>
          <w:sz w:val="44"/>
          <w:szCs w:val="44"/>
          <w:lang w:eastAsia="zh-CN"/>
        </w:rPr>
        <w:t>公开</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1.贯彻执行国家财政、税收、宏观经济等各项方针政策，参与拟定全市各项宏观经济政策，拟定和执行全县财政税收的发展战略、方针政策、中长期规划、改革方案及其他有关政策，提出运用财税政策实施宏观调控和综合平衡社会财力</w:t>
      </w:r>
      <w:r>
        <w:rPr>
          <w:rFonts w:hint="eastAsia" w:ascii="仿宋_GB2312" w:hAnsi="Tahoma" w:eastAsia="仿宋_GB2312" w:cs="Tahoma"/>
          <w:color w:val="333333"/>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2.贯彻执行国家财政、财务、会计管理及行政事业单位国有资产管理的法律、法规、规章及各项方针政策，拟定全县财政、财务、会计管理及行政事业单位国有资产管理的制度。</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3.编制县级年度预决算草案并组织执行。受县人民政府委托，向县人民代表大会报告全县预算及其执行情况，向县人大常委会报告县本级决算。深化部门预算改革，组织制定经费开支标准、定额，负责审核批复部门(单位)的年度预决算。完善转移支付制度。</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4.负责政府非税收入管理，负责政府性基金管理及预算编制，按规定管理行政事业性收费。管理财政票据。负责煤炭可持续发展基金的管理和监督检查。</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5.贯彻执行国库管理制度、国库集中收付制度，推行县级财政国库集中收付制度并进行监督管理。负责审核和编制汇总全县财政总决算和部门决算。负责管理县级财政银行账户和县级预算单位银行账户。负责制定全县政府采购制度并监督管理，编制县级政府采购预算。</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6.拟定并组织实施全县行政事业单位国有资产及其收益管理的规章制度，负责管理县级行政事业单位国有资产及其收益，审核批复县级行政事业单位国有资产</w:t>
      </w:r>
      <w:r>
        <w:rPr>
          <w:rFonts w:hint="eastAsia" w:ascii="仿宋_GB2312" w:hAnsi="Tahoma" w:eastAsia="仿宋_GB2312" w:cs="Tahoma"/>
          <w:color w:val="333333"/>
          <w:sz w:val="32"/>
          <w:szCs w:val="32"/>
          <w:lang w:val="en-US" w:eastAsia="zh-CN"/>
        </w:rPr>
        <w:t>配置、</w:t>
      </w:r>
      <w:r>
        <w:rPr>
          <w:rFonts w:hint="eastAsia" w:ascii="仿宋_GB2312" w:hAnsi="Tahoma" w:eastAsia="仿宋_GB2312" w:cs="Tahoma"/>
          <w:color w:val="333333"/>
          <w:sz w:val="32"/>
          <w:szCs w:val="32"/>
        </w:rPr>
        <w:t>处置</w:t>
      </w:r>
      <w:r>
        <w:rPr>
          <w:rFonts w:hint="eastAsia" w:ascii="仿宋_GB2312" w:hAnsi="Tahoma" w:eastAsia="仿宋_GB2312" w:cs="Tahoma"/>
          <w:color w:val="333333"/>
          <w:sz w:val="32"/>
          <w:szCs w:val="32"/>
          <w:lang w:val="en-US" w:eastAsia="zh-CN"/>
        </w:rPr>
        <w:t>等事项</w:t>
      </w:r>
      <w:r>
        <w:rPr>
          <w:rFonts w:hint="eastAsia" w:ascii="仿宋_GB2312" w:hAnsi="Tahoma" w:eastAsia="仿宋_GB2312" w:cs="Tahoma"/>
          <w:color w:val="333333"/>
          <w:sz w:val="32"/>
          <w:szCs w:val="32"/>
          <w:lang w:eastAsia="zh-CN"/>
        </w:rPr>
        <w:t>。</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Tahoma" w:eastAsia="仿宋_GB2312" w:cs="Tahoma"/>
          <w:color w:val="333333"/>
          <w:sz w:val="32"/>
          <w:szCs w:val="32"/>
        </w:rPr>
      </w:pPr>
      <w:r>
        <w:rPr>
          <w:rFonts w:hint="eastAsia" w:ascii="仿宋_GB2312" w:hAnsi="Tahoma" w:eastAsia="仿宋_GB2312" w:cs="Tahoma"/>
          <w:color w:val="333333"/>
          <w:sz w:val="32"/>
          <w:szCs w:val="32"/>
          <w:lang w:val="en-US" w:eastAsia="zh-CN"/>
        </w:rPr>
        <w:t>7</w:t>
      </w:r>
      <w:r>
        <w:rPr>
          <w:rFonts w:hint="eastAsia" w:ascii="仿宋_GB2312" w:hAnsi="Tahoma" w:eastAsia="仿宋_GB2312" w:cs="Tahoma"/>
          <w:color w:val="333333"/>
          <w:sz w:val="32"/>
          <w:szCs w:val="32"/>
        </w:rPr>
        <w:t>.负责办理和监督县级财政的经济发展支出、县级政府性投资项目的财政拨款，参与拟定全县建设投资的有关政策，拟定基本建设财务制度，负责有关政策性补贴和专项储备资金财政管理工作。</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lang w:val="en-US" w:eastAsia="zh-CN"/>
        </w:rPr>
        <w:t>8</w:t>
      </w:r>
      <w:r>
        <w:rPr>
          <w:rFonts w:hint="eastAsia" w:ascii="仿宋_GB2312" w:hAnsi="Tahoma" w:eastAsia="仿宋_GB2312" w:cs="Tahoma"/>
          <w:color w:val="333333"/>
          <w:sz w:val="32"/>
          <w:szCs w:val="32"/>
        </w:rPr>
        <w:t>.会同有关部门管理县级财政社会保障和就业及医疗卫生支出，会同有关部门拟定社会保障资金(基金)的财务管理制度，编制县本级社会保障预决算草案。</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napToGrid/>
        <w:spacing w:beforeAutospacing="0" w:line="600" w:lineRule="exact"/>
        <w:ind w:firstLine="640"/>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lang w:val="en-US" w:eastAsia="zh-CN"/>
        </w:rPr>
        <w:t>9</w:t>
      </w:r>
      <w:r>
        <w:rPr>
          <w:rFonts w:hint="eastAsia" w:ascii="仿宋_GB2312" w:hAnsi="Tahoma" w:eastAsia="仿宋_GB2312" w:cs="Tahoma"/>
          <w:color w:val="333333"/>
          <w:sz w:val="32"/>
          <w:szCs w:val="32"/>
        </w:rPr>
        <w:t>.贯彻执行国家关于国内债务和政府外债管理的各项方针政策、规章制度和管理办法，负责地方政府内债会计核算工作。</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50" w:line="600" w:lineRule="exact"/>
        <w:ind w:firstLine="640"/>
        <w:jc w:val="left"/>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负责管理外国政府贷(赠)款和全县利用国际金融组织贷(赠)款工作，参与相关对外谈判工作。</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50" w:line="600" w:lineRule="exact"/>
        <w:ind w:firstLine="640"/>
        <w:jc w:val="left"/>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1</w:t>
      </w:r>
      <w:r>
        <w:rPr>
          <w:rFonts w:hint="eastAsia" w:ascii="仿宋_GB2312" w:hAnsi="Tahoma" w:eastAsia="仿宋_GB2312" w:cs="Tahoma"/>
          <w:color w:val="333333"/>
          <w:sz w:val="32"/>
          <w:szCs w:val="32"/>
          <w:lang w:val="en-US" w:eastAsia="zh-CN"/>
        </w:rPr>
        <w:t>0</w:t>
      </w:r>
      <w:r>
        <w:rPr>
          <w:rFonts w:hint="eastAsia" w:ascii="仿宋_GB2312" w:hAnsi="Tahoma" w:eastAsia="仿宋_GB2312" w:cs="Tahoma"/>
          <w:color w:val="333333"/>
          <w:sz w:val="32"/>
          <w:szCs w:val="32"/>
        </w:rPr>
        <w:t>.负责管理全县的会计工作，监督和规范会计行为，拟定全县会计管理工作的规章草案、制度及补充规定，负责全县会计专业技术资格管理，指导和监督全县注册会计师、注册资产评估师、会计师事务所和资产评估机构的业务，指导财产评估业务，指导和管理社会审计。</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50" w:line="600" w:lineRule="exact"/>
        <w:ind w:firstLine="640"/>
        <w:jc w:val="left"/>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1</w:t>
      </w:r>
      <w:r>
        <w:rPr>
          <w:rFonts w:hint="eastAsia" w:ascii="仿宋_GB2312" w:hAnsi="Tahoma" w:eastAsia="仿宋_GB2312" w:cs="Tahoma"/>
          <w:color w:val="333333"/>
          <w:sz w:val="32"/>
          <w:szCs w:val="32"/>
          <w:lang w:val="en-US" w:eastAsia="zh-CN"/>
        </w:rPr>
        <w:t>1</w:t>
      </w:r>
      <w:r>
        <w:rPr>
          <w:rFonts w:hint="eastAsia" w:ascii="仿宋_GB2312" w:hAnsi="Tahoma" w:eastAsia="仿宋_GB2312" w:cs="Tahoma"/>
          <w:color w:val="333333"/>
          <w:sz w:val="32"/>
          <w:szCs w:val="32"/>
        </w:rPr>
        <w:t>.监督检查财税法规、政策的执行情况，反映财政收支管理中的重大问题。</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50" w:line="600" w:lineRule="exact"/>
        <w:ind w:firstLine="640"/>
        <w:jc w:val="left"/>
        <w:textAlignment w:val="auto"/>
        <w:outlineLvl w:val="9"/>
        <w:rPr>
          <w:rFonts w:ascii="Tahoma" w:hAnsi="Tahoma" w:cs="Tahoma"/>
          <w:color w:val="333333"/>
          <w:sz w:val="20"/>
          <w:szCs w:val="20"/>
        </w:rPr>
      </w:pPr>
      <w:r>
        <w:rPr>
          <w:rFonts w:hint="eastAsia" w:ascii="仿宋_GB2312" w:hAnsi="Tahoma" w:eastAsia="仿宋_GB2312" w:cs="Tahoma"/>
          <w:color w:val="333333"/>
          <w:sz w:val="32"/>
          <w:szCs w:val="32"/>
        </w:rPr>
        <w:t>1</w:t>
      </w:r>
      <w:r>
        <w:rPr>
          <w:rFonts w:hint="eastAsia" w:ascii="仿宋_GB2312" w:hAnsi="Tahoma" w:eastAsia="仿宋_GB2312" w:cs="Tahoma"/>
          <w:color w:val="333333"/>
          <w:sz w:val="32"/>
          <w:szCs w:val="32"/>
          <w:lang w:val="en-US" w:eastAsia="zh-CN"/>
        </w:rPr>
        <w:t>2</w:t>
      </w:r>
      <w:r>
        <w:rPr>
          <w:rFonts w:hint="eastAsia" w:ascii="仿宋_GB2312" w:hAnsi="Tahoma" w:eastAsia="仿宋_GB2312" w:cs="Tahoma"/>
          <w:color w:val="333333"/>
          <w:sz w:val="32"/>
          <w:szCs w:val="32"/>
        </w:rPr>
        <w:t>.制定全县财政科学研究和财政教育规划，组织全县财政人才培训，负责财政信息和财政宣传工作。</w:t>
      </w:r>
      <w:r>
        <w:rPr>
          <w:rFonts w:ascii="Tahoma" w:hAnsi="Tahoma" w:cs="Tahoma"/>
          <w:color w:val="333333"/>
          <w:sz w:val="20"/>
          <w:szCs w:val="20"/>
        </w:rPr>
        <w:t xml:space="preserve"> </w:t>
      </w:r>
    </w:p>
    <w:p>
      <w:pPr>
        <w:keepNext w:val="0"/>
        <w:keepLines w:val="0"/>
        <w:pageBreakBefore w:val="0"/>
        <w:widowControl/>
        <w:kinsoku/>
        <w:wordWrap/>
        <w:overflowPunct/>
        <w:topLinePunct w:val="0"/>
        <w:autoSpaceDE/>
        <w:autoSpaceDN/>
        <w:bidi w:val="0"/>
        <w:adjustRightInd/>
        <w:snapToGrid/>
        <w:spacing w:before="100" w:beforeAutospacing="0" w:after="150" w:line="600" w:lineRule="exact"/>
        <w:ind w:firstLine="640"/>
        <w:jc w:val="left"/>
        <w:textAlignment w:val="auto"/>
        <w:outlineLvl w:val="9"/>
        <w:rPr>
          <w:rFonts w:ascii="Tahoma" w:hAnsi="Tahoma" w:eastAsia="Tahoma" w:cs="Tahoma"/>
          <w:color w:val="333333"/>
          <w:sz w:val="18"/>
          <w:szCs w:val="18"/>
        </w:rPr>
      </w:pPr>
      <w:r>
        <w:rPr>
          <w:rFonts w:hint="eastAsia" w:ascii="仿宋_GB2312" w:hAnsi="Tahoma" w:eastAsia="仿宋_GB2312" w:cs="Tahoma"/>
          <w:color w:val="333333"/>
          <w:sz w:val="32"/>
          <w:szCs w:val="32"/>
        </w:rPr>
        <w:t>1</w:t>
      </w:r>
      <w:r>
        <w:rPr>
          <w:rFonts w:hint="eastAsia" w:ascii="仿宋_GB2312" w:hAnsi="Tahoma" w:eastAsia="仿宋_GB2312" w:cs="Tahoma"/>
          <w:color w:val="333333"/>
          <w:sz w:val="32"/>
          <w:szCs w:val="32"/>
          <w:lang w:val="en-US" w:eastAsia="zh-CN"/>
        </w:rPr>
        <w:t>3</w:t>
      </w:r>
      <w:r>
        <w:rPr>
          <w:rFonts w:hint="eastAsia" w:ascii="仿宋_GB2312" w:hAnsi="Tahoma" w:eastAsia="仿宋_GB2312" w:cs="Tahoma"/>
          <w:color w:val="333333"/>
          <w:sz w:val="32"/>
          <w:szCs w:val="32"/>
        </w:rPr>
        <w:t>.承办县</w:t>
      </w:r>
      <w:bookmarkStart w:id="0" w:name="_GoBack"/>
      <w:bookmarkEnd w:id="0"/>
      <w:r>
        <w:rPr>
          <w:rFonts w:hint="eastAsia" w:ascii="仿宋_GB2312" w:hAnsi="Tahoma" w:eastAsia="仿宋_GB2312" w:cs="Tahoma"/>
          <w:color w:val="333333"/>
          <w:sz w:val="32"/>
          <w:szCs w:val="32"/>
        </w:rPr>
        <w:t>人民政府交办的其他事项。</w:t>
      </w:r>
    </w:p>
    <w:p>
      <w:pPr>
        <w:keepNext w:val="0"/>
        <w:keepLines w:val="0"/>
        <w:pageBreakBefore w:val="0"/>
        <w:widowControl/>
        <w:numPr>
          <w:ilvl w:val="0"/>
          <w:numId w:val="0"/>
        </w:numPr>
        <w:kinsoku/>
        <w:wordWrap/>
        <w:overflowPunct/>
        <w:topLinePunct w:val="0"/>
        <w:autoSpaceDE/>
        <w:autoSpaceDN/>
        <w:bidi w:val="0"/>
        <w:adjustRightInd/>
        <w:spacing w:line="600" w:lineRule="exact"/>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二、</w:t>
      </w:r>
      <w:r>
        <w:rPr>
          <w:rFonts w:hint="eastAsia" w:ascii="仿宋_GB2312" w:hAnsi="楷体" w:eastAsia="仿宋_GB2312"/>
          <w:kern w:val="0"/>
          <w:sz w:val="32"/>
          <w:szCs w:val="32"/>
        </w:rPr>
        <w:t>机构设置情况</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仿宋_GB2312" w:hAnsi="楷体" w:eastAsia="仿宋_GB2312"/>
          <w:kern w:val="0"/>
          <w:sz w:val="32"/>
          <w:szCs w:val="32"/>
          <w:lang w:val="en-US"/>
        </w:rPr>
      </w:pPr>
      <w:r>
        <w:rPr>
          <w:rFonts w:hint="eastAsia" w:ascii="仿宋_GB2312" w:hAnsi="楷体" w:eastAsia="仿宋_GB2312"/>
          <w:kern w:val="0"/>
          <w:sz w:val="32"/>
          <w:szCs w:val="32"/>
          <w:lang w:val="en-US" w:eastAsia="zh-CN"/>
        </w:rPr>
        <w:t>本局机关下设办公室</w:t>
      </w:r>
      <w:r>
        <w:rPr>
          <w:rFonts w:hint="eastAsia" w:ascii="仿宋_GB2312" w:hAnsi="Tahoma" w:eastAsia="仿宋_GB2312" w:cs="Tahoma"/>
          <w:color w:val="333333"/>
          <w:sz w:val="32"/>
          <w:szCs w:val="32"/>
        </w:rPr>
        <w:t>、</w:t>
      </w:r>
      <w:r>
        <w:rPr>
          <w:rFonts w:hint="eastAsia" w:ascii="仿宋_GB2312" w:hAnsi="Tahoma" w:eastAsia="仿宋_GB2312" w:cs="Tahoma"/>
          <w:color w:val="333333"/>
          <w:sz w:val="32"/>
          <w:szCs w:val="32"/>
          <w:lang w:val="en-US" w:eastAsia="zh-CN"/>
        </w:rPr>
        <w:t>国库股</w:t>
      </w:r>
      <w:r>
        <w:rPr>
          <w:rFonts w:hint="eastAsia" w:ascii="仿宋_GB2312" w:hAnsi="Tahoma" w:eastAsia="仿宋_GB2312" w:cs="Tahoma"/>
          <w:color w:val="333333"/>
          <w:sz w:val="32"/>
          <w:szCs w:val="32"/>
        </w:rPr>
        <w:t>、</w:t>
      </w:r>
      <w:r>
        <w:rPr>
          <w:rFonts w:hint="eastAsia" w:ascii="仿宋_GB2312" w:hAnsi="Tahoma" w:eastAsia="仿宋_GB2312" w:cs="Tahoma"/>
          <w:color w:val="333333"/>
          <w:sz w:val="32"/>
          <w:szCs w:val="32"/>
          <w:lang w:val="en-US" w:eastAsia="zh-CN"/>
        </w:rPr>
        <w:t>预算股</w:t>
      </w:r>
      <w:r>
        <w:rPr>
          <w:rFonts w:hint="eastAsia" w:ascii="仿宋_GB2312" w:hAnsi="Tahoma" w:eastAsia="仿宋_GB2312" w:cs="Tahoma"/>
          <w:color w:val="333333"/>
          <w:sz w:val="32"/>
          <w:szCs w:val="32"/>
        </w:rPr>
        <w:t>、</w:t>
      </w:r>
      <w:r>
        <w:rPr>
          <w:rFonts w:hint="eastAsia" w:ascii="仿宋_GB2312" w:hAnsi="Tahoma" w:eastAsia="仿宋_GB2312" w:cs="Tahoma"/>
          <w:color w:val="333333"/>
          <w:sz w:val="32"/>
          <w:szCs w:val="32"/>
          <w:lang w:val="en-US" w:eastAsia="zh-CN"/>
        </w:rPr>
        <w:t>行政政法股</w:t>
      </w:r>
      <w:r>
        <w:rPr>
          <w:rFonts w:hint="eastAsia" w:ascii="仿宋_GB2312" w:hAnsi="Tahoma" w:eastAsia="仿宋_GB2312" w:cs="Tahoma"/>
          <w:color w:val="333333"/>
          <w:sz w:val="32"/>
          <w:szCs w:val="32"/>
        </w:rPr>
        <w:t>、</w:t>
      </w:r>
      <w:r>
        <w:rPr>
          <w:rFonts w:hint="eastAsia" w:ascii="仿宋_GB2312" w:hAnsi="Tahoma" w:eastAsia="仿宋_GB2312" w:cs="Tahoma"/>
          <w:color w:val="333333"/>
          <w:sz w:val="32"/>
          <w:szCs w:val="32"/>
          <w:lang w:val="en-US" w:eastAsia="zh-CN"/>
        </w:rPr>
        <w:t>科教文股</w:t>
      </w:r>
      <w:r>
        <w:rPr>
          <w:rFonts w:hint="eastAsia" w:ascii="仿宋_GB2312" w:hAnsi="Tahoma" w:eastAsia="仿宋_GB2312" w:cs="Tahoma"/>
          <w:color w:val="333333"/>
          <w:sz w:val="32"/>
          <w:szCs w:val="32"/>
        </w:rPr>
        <w:t>、</w:t>
      </w:r>
      <w:r>
        <w:rPr>
          <w:rFonts w:hint="eastAsia" w:ascii="仿宋_GB2312" w:hAnsi="Tahoma" w:eastAsia="仿宋_GB2312" w:cs="Tahoma"/>
          <w:color w:val="333333"/>
          <w:sz w:val="32"/>
          <w:szCs w:val="32"/>
          <w:lang w:val="en-US" w:eastAsia="zh-CN"/>
        </w:rPr>
        <w:t>会管综合股</w:t>
      </w:r>
      <w:r>
        <w:rPr>
          <w:rFonts w:hint="eastAsia" w:ascii="仿宋_GB2312" w:hAnsi="Tahoma" w:eastAsia="仿宋_GB2312" w:cs="Tahoma"/>
          <w:color w:val="333333"/>
          <w:sz w:val="32"/>
          <w:szCs w:val="32"/>
        </w:rPr>
        <w:t>、</w:t>
      </w:r>
      <w:r>
        <w:rPr>
          <w:rFonts w:hint="eastAsia" w:ascii="仿宋_GB2312" w:hAnsi="Tahoma" w:eastAsia="仿宋_GB2312" w:cs="Tahoma"/>
          <w:color w:val="333333"/>
          <w:sz w:val="32"/>
          <w:szCs w:val="32"/>
          <w:lang w:val="en-US" w:eastAsia="zh-CN"/>
        </w:rPr>
        <w:t>社保监察股、地方金融股、政府采购国有资产管理股、政府和社会资本合作中心等及非税收入征收管理局和财政投资评审中心两个事业单位。</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2018年预算收支总表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2018年预算收入总表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2018年预算支出总表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2018年财政拨款收支总表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2018年一般公共预算支出预算表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2018年一般公共预算安排基本支出分经济科目表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2018年政府性基金预算收入预算表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2018年政府性基金预算支出预算表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2018年“三公”经费预算财政拨款情况统计表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襄汾县财政局</w:t>
      </w:r>
      <w:r>
        <w:rPr>
          <w:rFonts w:hint="eastAsia" w:ascii="仿宋_GB2312" w:hAnsi="楷体" w:eastAsia="仿宋_GB2312"/>
          <w:kern w:val="0"/>
          <w:sz w:val="32"/>
          <w:szCs w:val="32"/>
        </w:rPr>
        <w:t>2018年机关运行经费预算财政拨款情况统计表</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2018年由于人员工资调整，人员经费增加，同时五险两金财政补贴部分，退休人员采暖补贴，遗属补助等列入预算，所以基本支出增加。</w:t>
      </w:r>
    </w:p>
    <w:p>
      <w:pPr>
        <w:keepNext w:val="0"/>
        <w:keepLines w:val="0"/>
        <w:pageBreakBefore w:val="0"/>
        <w:widowControl/>
        <w:numPr>
          <w:ilvl w:val="0"/>
          <w:numId w:val="0"/>
        </w:numPr>
        <w:kinsoku/>
        <w:wordWrap/>
        <w:overflowPunct/>
        <w:topLinePunct w:val="0"/>
        <w:autoSpaceDE/>
        <w:autoSpaceDN/>
        <w:bidi w:val="0"/>
        <w:adjustRightInd/>
        <w:spacing w:line="600" w:lineRule="exact"/>
        <w:ind w:left="640" w:leftChars="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二、</w:t>
      </w:r>
      <w:r>
        <w:rPr>
          <w:rFonts w:hint="eastAsia" w:ascii="仿宋_GB2312" w:hAnsi="楷体" w:eastAsia="仿宋_GB2312"/>
          <w:kern w:val="0"/>
          <w:sz w:val="32"/>
          <w:szCs w:val="32"/>
        </w:rPr>
        <w:t>“三公”经费增减变动原因说明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eastAsia="仿宋_GB2312"/>
          <w:sz w:val="32"/>
          <w:szCs w:val="32"/>
          <w:lang w:val="en-US" w:eastAsia="zh-CN"/>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4.5万</w:t>
      </w:r>
      <w:r>
        <w:rPr>
          <w:rFonts w:hint="eastAsia" w:ascii="仿宋_GB2312" w:eastAsia="仿宋_GB2312"/>
          <w:sz w:val="32"/>
          <w:szCs w:val="32"/>
        </w:rPr>
        <w:t>元，</w:t>
      </w:r>
      <w:r>
        <w:rPr>
          <w:rFonts w:hint="eastAsia" w:ascii="仿宋_GB2312" w:eastAsia="仿宋_GB2312"/>
          <w:sz w:val="32"/>
          <w:szCs w:val="32"/>
          <w:lang w:val="en-US" w:eastAsia="zh-CN"/>
        </w:rPr>
        <w:t>比</w:t>
      </w:r>
      <w:r>
        <w:rPr>
          <w:rFonts w:ascii="仿宋_GB2312" w:eastAsia="仿宋_GB2312"/>
          <w:sz w:val="32"/>
          <w:szCs w:val="32"/>
        </w:rPr>
        <w:t>2017</w:t>
      </w:r>
      <w:r>
        <w:rPr>
          <w:rFonts w:hint="eastAsia" w:ascii="仿宋_GB2312" w:eastAsia="仿宋_GB2312"/>
          <w:sz w:val="32"/>
          <w:szCs w:val="32"/>
        </w:rPr>
        <w:t>年</w:t>
      </w:r>
      <w:r>
        <w:rPr>
          <w:rFonts w:hint="eastAsia" w:ascii="仿宋_GB2312" w:eastAsia="仿宋_GB2312"/>
          <w:sz w:val="32"/>
          <w:szCs w:val="32"/>
          <w:lang w:val="en-US" w:eastAsia="zh-CN"/>
        </w:rPr>
        <w:t>减少1.5万元</w:t>
      </w:r>
      <w:r>
        <w:rPr>
          <w:rFonts w:hint="eastAsia" w:ascii="仿宋_GB2312" w:eastAsia="仿宋_GB2312"/>
          <w:sz w:val="32"/>
          <w:szCs w:val="32"/>
        </w:rPr>
        <w:t>，</w:t>
      </w:r>
      <w:r>
        <w:rPr>
          <w:rFonts w:hint="eastAsia" w:ascii="仿宋_GB2312" w:eastAsia="仿宋_GB2312"/>
          <w:sz w:val="32"/>
          <w:szCs w:val="32"/>
          <w:lang w:val="en-US" w:eastAsia="zh-CN"/>
        </w:rPr>
        <w:t>原因是缩减开支，严格执行中央八项规定，</w:t>
      </w:r>
      <w:r>
        <w:rPr>
          <w:rFonts w:hint="eastAsia" w:ascii="仿宋_GB2312" w:eastAsia="仿宋_GB2312"/>
          <w:sz w:val="32"/>
          <w:szCs w:val="32"/>
        </w:rPr>
        <w:t>其中：因公出国（境）费用</w:t>
      </w:r>
      <w:r>
        <w:rPr>
          <w:rFonts w:hint="eastAsia" w:ascii="仿宋_GB2312" w:eastAsia="仿宋_GB2312"/>
          <w:sz w:val="32"/>
          <w:szCs w:val="32"/>
          <w:lang w:val="en-US" w:eastAsia="zh-CN"/>
        </w:rPr>
        <w:t>0</w:t>
      </w:r>
      <w:r>
        <w:rPr>
          <w:rFonts w:hint="eastAsia" w:ascii="仿宋_GB2312" w:eastAsia="仿宋_GB2312"/>
          <w:sz w:val="32"/>
          <w:szCs w:val="32"/>
        </w:rPr>
        <w:t>元，比上年减少（增加）</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eastAsia="仿宋_GB2312"/>
          <w:sz w:val="32"/>
          <w:szCs w:val="32"/>
          <w:lang w:val="en-US" w:eastAsia="zh-CN"/>
        </w:rPr>
        <w:t>2018年</w:t>
      </w:r>
      <w:r>
        <w:rPr>
          <w:rFonts w:hint="eastAsia" w:ascii="仿宋_GB2312" w:eastAsia="仿宋_GB2312"/>
          <w:sz w:val="32"/>
          <w:szCs w:val="32"/>
        </w:rPr>
        <w:t>公务接待费</w:t>
      </w:r>
      <w:r>
        <w:rPr>
          <w:rFonts w:hint="eastAsia" w:ascii="仿宋" w:hAnsi="仿宋" w:eastAsia="仿宋"/>
          <w:sz w:val="32"/>
          <w:szCs w:val="32"/>
          <w:lang w:val="en-US" w:eastAsia="zh-CN"/>
        </w:rPr>
        <w:t>1.5万</w:t>
      </w:r>
      <w:r>
        <w:rPr>
          <w:rFonts w:hint="eastAsia" w:ascii="仿宋_GB2312" w:eastAsia="仿宋_GB2312"/>
          <w:sz w:val="32"/>
          <w:szCs w:val="32"/>
        </w:rPr>
        <w:t>元，比上年减少</w:t>
      </w:r>
      <w:r>
        <w:rPr>
          <w:rFonts w:hint="eastAsia" w:ascii="仿宋_GB2312" w:eastAsia="仿宋_GB2312"/>
          <w:sz w:val="32"/>
          <w:szCs w:val="32"/>
          <w:lang w:val="en-US" w:eastAsia="zh-CN"/>
        </w:rPr>
        <w:t>1.5万</w:t>
      </w:r>
      <w:r>
        <w:rPr>
          <w:rFonts w:hint="eastAsia" w:ascii="仿宋_GB2312" w:eastAsia="仿宋_GB2312"/>
          <w:sz w:val="32"/>
          <w:szCs w:val="32"/>
        </w:rPr>
        <w:t>元，公务用车运行维护费</w:t>
      </w:r>
      <w:r>
        <w:rPr>
          <w:rFonts w:hint="eastAsia" w:ascii="仿宋" w:hAnsi="仿宋" w:eastAsia="仿宋"/>
          <w:sz w:val="32"/>
          <w:szCs w:val="32"/>
          <w:lang w:val="en-US" w:eastAsia="zh-CN"/>
        </w:rPr>
        <w:t>3万</w:t>
      </w:r>
      <w:r>
        <w:rPr>
          <w:rFonts w:hint="eastAsia" w:ascii="仿宋_GB2312" w:eastAsia="仿宋_GB2312"/>
          <w:sz w:val="32"/>
          <w:szCs w:val="32"/>
        </w:rPr>
        <w:t>元，比上年减少（增加）</w:t>
      </w:r>
      <w:r>
        <w:rPr>
          <w:rFonts w:hint="eastAsia" w:ascii="仿宋_GB2312" w:eastAsia="仿宋_GB2312"/>
          <w:sz w:val="32"/>
          <w:szCs w:val="32"/>
          <w:lang w:val="en-US" w:eastAsia="zh-CN"/>
        </w:rPr>
        <w:t>0万</w:t>
      </w:r>
      <w:r>
        <w:rPr>
          <w:rFonts w:hint="eastAsia" w:ascii="仿宋_GB2312" w:eastAsia="仿宋_GB2312"/>
          <w:sz w:val="32"/>
          <w:szCs w:val="32"/>
        </w:rPr>
        <w:t>元；公务用车购置费</w:t>
      </w:r>
      <w:r>
        <w:rPr>
          <w:rFonts w:hint="eastAsia" w:ascii="仿宋_GB2312" w:eastAsia="仿宋_GB2312"/>
          <w:sz w:val="32"/>
          <w:szCs w:val="32"/>
          <w:lang w:val="en-US" w:eastAsia="zh-CN"/>
        </w:rPr>
        <w:t>0万</w:t>
      </w:r>
      <w:r>
        <w:rPr>
          <w:rFonts w:hint="eastAsia" w:ascii="仿宋_GB2312" w:eastAsia="仿宋_GB2312"/>
          <w:sz w:val="32"/>
          <w:szCs w:val="32"/>
        </w:rPr>
        <w:t>元，比上年减少（增加）</w:t>
      </w:r>
      <w:r>
        <w:rPr>
          <w:rFonts w:hint="eastAsia" w:ascii="仿宋_GB2312" w:eastAsia="仿宋_GB2312"/>
          <w:sz w:val="32"/>
          <w:szCs w:val="32"/>
          <w:lang w:val="en-US" w:eastAsia="zh-CN"/>
        </w:rPr>
        <w:t>0万元</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eastAsia="仿宋_GB2312"/>
          <w:sz w:val="32"/>
          <w:szCs w:val="32"/>
          <w:lang w:val="en-US" w:eastAsia="zh-CN"/>
        </w:rPr>
        <w:t xml:space="preserve"> </w:t>
      </w:r>
      <w:r>
        <w:rPr>
          <w:rFonts w:hint="eastAsia" w:ascii="仿宋_GB2312" w:hAnsi="楷体" w:eastAsia="仿宋_GB2312"/>
          <w:kern w:val="0"/>
          <w:sz w:val="32"/>
          <w:szCs w:val="32"/>
        </w:rPr>
        <w:t>三、机关运行经费增减变动原因说明</w:t>
      </w:r>
    </w:p>
    <w:p>
      <w:pPr>
        <w:keepNext w:val="0"/>
        <w:keepLines w:val="0"/>
        <w:pageBreakBefore w:val="0"/>
        <w:kinsoku/>
        <w:wordWrap/>
        <w:overflowPunct/>
        <w:topLinePunct w:val="0"/>
        <w:autoSpaceDE/>
        <w:autoSpaceDN/>
        <w:bidi w:val="0"/>
        <w:adjustRightInd/>
        <w:spacing w:before="0" w:after="0" w:line="600" w:lineRule="exact"/>
        <w:ind w:left="0" w:right="0" w:firstLine="636"/>
        <w:jc w:val="both"/>
        <w:textAlignment w:val="auto"/>
        <w:outlineLvl w:val="9"/>
        <w:rPr>
          <w:rFonts w:ascii="宋体" w:hAnsi="宋体" w:eastAsia="宋体" w:cs="宋体"/>
          <w:color w:val="auto"/>
          <w:spacing w:val="0"/>
          <w:position w:val="0"/>
          <w:sz w:val="32"/>
          <w:shd w:val="clear" w:fill="auto"/>
        </w:rPr>
      </w:pPr>
      <w:r>
        <w:rPr>
          <w:rFonts w:hint="eastAsia" w:ascii="仿宋_GB2312" w:hAnsi="仿宋" w:eastAsia="仿宋_GB2312"/>
          <w:kern w:val="0"/>
          <w:sz w:val="32"/>
          <w:szCs w:val="32"/>
          <w:lang w:val="en-US" w:eastAsia="zh-CN"/>
        </w:rPr>
        <w:t>襄汾县财政局</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35.71万</w:t>
      </w:r>
      <w:r>
        <w:rPr>
          <w:rFonts w:hint="eastAsia" w:ascii="仿宋_GB2312" w:hAnsi="仿宋" w:eastAsia="仿宋_GB2312"/>
          <w:kern w:val="0"/>
          <w:sz w:val="32"/>
          <w:szCs w:val="32"/>
        </w:rPr>
        <w:t>元，比2017年预算</w:t>
      </w:r>
      <w:r>
        <w:rPr>
          <w:rFonts w:hint="eastAsia" w:ascii="仿宋_GB2312" w:hAnsi="仿宋" w:eastAsia="仿宋_GB2312"/>
          <w:kern w:val="0"/>
          <w:sz w:val="32"/>
          <w:szCs w:val="32"/>
          <w:lang w:val="en-US" w:eastAsia="zh-CN"/>
        </w:rPr>
        <w:t>增加15.94万</w:t>
      </w:r>
      <w:r>
        <w:rPr>
          <w:rFonts w:hint="eastAsia" w:ascii="仿宋_GB2312" w:hAnsi="仿宋" w:eastAsia="仿宋_GB2312"/>
          <w:kern w:val="0"/>
          <w:sz w:val="32"/>
          <w:szCs w:val="32"/>
        </w:rPr>
        <w:t>元，</w:t>
      </w:r>
      <w:r>
        <w:rPr>
          <w:rFonts w:hint="eastAsia" w:ascii="仿宋_GB2312" w:hAnsi="仿宋" w:eastAsia="仿宋_GB2312"/>
          <w:kern w:val="0"/>
          <w:sz w:val="32"/>
          <w:szCs w:val="32"/>
          <w:lang w:val="en-US" w:eastAsia="zh-CN"/>
        </w:rPr>
        <w:t>增加81%</w:t>
      </w:r>
      <w:r>
        <w:rPr>
          <w:rFonts w:hint="eastAsia" w:ascii="仿宋_GB2312" w:hAnsi="仿宋" w:eastAsia="仿宋_GB2312"/>
          <w:kern w:val="0"/>
          <w:sz w:val="32"/>
          <w:szCs w:val="32"/>
        </w:rPr>
        <w:t>。</w:t>
      </w:r>
      <w:r>
        <w:rPr>
          <w:rFonts w:hint="eastAsia" w:ascii="仿宋" w:hAnsi="仿宋" w:eastAsia="仿宋" w:cs="仿宋"/>
          <w:color w:val="auto"/>
          <w:spacing w:val="0"/>
          <w:position w:val="0"/>
          <w:sz w:val="32"/>
          <w:shd w:val="clear" w:fill="auto"/>
        </w:rPr>
        <w:t>原因是公车运行维护费减少，但因2018年经济科目调整，公车补贴调至机关运行经费增加</w:t>
      </w:r>
      <w:r>
        <w:rPr>
          <w:rFonts w:ascii="宋体" w:hAnsi="宋体" w:eastAsia="宋体" w:cs="宋体"/>
          <w:color w:val="auto"/>
          <w:spacing w:val="0"/>
          <w:position w:val="0"/>
          <w:sz w:val="32"/>
          <w:shd w:val="clear" w:fill="auto"/>
        </w:rPr>
        <w:t xml:space="preserve">。  </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2018年政府采购预算总额</w:t>
      </w:r>
      <w:r>
        <w:rPr>
          <w:rFonts w:hint="eastAsia" w:ascii="仿宋_GB2312" w:hAnsi="仿宋" w:eastAsia="仿宋_GB2312"/>
          <w:kern w:val="0"/>
          <w:sz w:val="32"/>
          <w:szCs w:val="32"/>
          <w:lang w:val="en-US" w:eastAsia="zh-CN"/>
        </w:rPr>
        <w:t>56万</w:t>
      </w:r>
      <w:r>
        <w:rPr>
          <w:rFonts w:hint="eastAsia" w:ascii="仿宋_GB2312" w:hAnsi="仿宋" w:eastAsia="仿宋_GB2312"/>
          <w:kern w:val="0"/>
          <w:sz w:val="32"/>
          <w:szCs w:val="32"/>
        </w:rPr>
        <w:t>元，其中：政府采购货物预算</w:t>
      </w:r>
      <w:r>
        <w:rPr>
          <w:rFonts w:hint="eastAsia" w:ascii="仿宋_GB2312" w:hAnsi="仿宋" w:eastAsia="仿宋_GB2312"/>
          <w:kern w:val="0"/>
          <w:sz w:val="32"/>
          <w:szCs w:val="32"/>
          <w:lang w:val="en-US" w:eastAsia="zh-CN"/>
        </w:rPr>
        <w:t>56万</w:t>
      </w:r>
      <w:r>
        <w:rPr>
          <w:rFonts w:hint="eastAsia" w:ascii="仿宋_GB2312" w:hAnsi="仿宋" w:eastAsia="仿宋_GB2312"/>
          <w:kern w:val="0"/>
          <w:sz w:val="32"/>
          <w:szCs w:val="32"/>
        </w:rPr>
        <w:t>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仿宋" w:eastAsia="仿宋_GB2312"/>
          <w:kern w:val="0"/>
          <w:sz w:val="32"/>
          <w:szCs w:val="32"/>
        </w:rPr>
        <w:t>2018年实行绩效目标管理的项目</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个。</w:t>
      </w:r>
    </w:p>
    <w:p>
      <w:pPr>
        <w:keepNext w:val="0"/>
        <w:keepLines w:val="0"/>
        <w:pageBreakBefore w:val="0"/>
        <w:widowControl/>
        <w:numPr>
          <w:ilvl w:val="0"/>
          <w:numId w:val="1"/>
        </w:numPr>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财政局现有公务用车1</w:t>
      </w:r>
      <w:r>
        <w:rPr>
          <w:rFonts w:hint="eastAsia" w:ascii="仿宋_GB2312" w:hAnsi="仿宋" w:eastAsia="仿宋_GB2312"/>
          <w:kern w:val="0"/>
          <w:sz w:val="32"/>
          <w:szCs w:val="32"/>
        </w:rPr>
        <w:t>辆；</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keepNext w:val="0"/>
        <w:keepLines w:val="0"/>
        <w:pageBreakBefore w:val="0"/>
        <w:widowControl/>
        <w:kinsoku/>
        <w:wordWrap/>
        <w:overflowPunct/>
        <w:topLinePunct w:val="0"/>
        <w:autoSpaceDE/>
        <w:autoSpaceDN/>
        <w:bidi w:val="0"/>
        <w:adjustRightInd/>
        <w:snapToGrid w:val="0"/>
        <w:spacing w:line="600" w:lineRule="exac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keepNext w:val="0"/>
        <w:keepLines w:val="0"/>
        <w:pageBreakBefore w:val="0"/>
        <w:widowControl/>
        <w:kinsoku/>
        <w:wordWrap/>
        <w:overflowPunct/>
        <w:topLinePunct w:val="0"/>
        <w:autoSpaceDE/>
        <w:autoSpaceDN/>
        <w:bidi w:val="0"/>
        <w:adjustRightInd/>
        <w:spacing w:line="600" w:lineRule="exac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C18FE"/>
    <w:multiLevelType w:val="singleLevel"/>
    <w:tmpl w:val="5AFC18FE"/>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62E4F"/>
    <w:rsid w:val="099C734D"/>
    <w:rsid w:val="0C6243D7"/>
    <w:rsid w:val="0D7E1447"/>
    <w:rsid w:val="19E20593"/>
    <w:rsid w:val="1C6F2425"/>
    <w:rsid w:val="1D515D28"/>
    <w:rsid w:val="1D5B2B4C"/>
    <w:rsid w:val="1FBD266B"/>
    <w:rsid w:val="20AE60FA"/>
    <w:rsid w:val="214E50A0"/>
    <w:rsid w:val="24E7252E"/>
    <w:rsid w:val="252B5655"/>
    <w:rsid w:val="2F3B37CC"/>
    <w:rsid w:val="2FD32871"/>
    <w:rsid w:val="31CA3EE9"/>
    <w:rsid w:val="337B0183"/>
    <w:rsid w:val="349C7FA8"/>
    <w:rsid w:val="352638D1"/>
    <w:rsid w:val="37B13EC5"/>
    <w:rsid w:val="3D304097"/>
    <w:rsid w:val="3D3F7563"/>
    <w:rsid w:val="436E39F1"/>
    <w:rsid w:val="43F17E40"/>
    <w:rsid w:val="44B8486B"/>
    <w:rsid w:val="459E4A3A"/>
    <w:rsid w:val="48C12112"/>
    <w:rsid w:val="49337A9F"/>
    <w:rsid w:val="49EC621A"/>
    <w:rsid w:val="4D1E143D"/>
    <w:rsid w:val="4E853ACE"/>
    <w:rsid w:val="527E4C5C"/>
    <w:rsid w:val="557415ED"/>
    <w:rsid w:val="58A57DF2"/>
    <w:rsid w:val="5A22632C"/>
    <w:rsid w:val="5BA10917"/>
    <w:rsid w:val="5D301AB4"/>
    <w:rsid w:val="5E3303B9"/>
    <w:rsid w:val="5F615D5A"/>
    <w:rsid w:val="65581F23"/>
    <w:rsid w:val="66B726FF"/>
    <w:rsid w:val="6CAD697E"/>
    <w:rsid w:val="6D6C2803"/>
    <w:rsid w:val="6DD273DD"/>
    <w:rsid w:val="70FC4D28"/>
    <w:rsid w:val="75A467BE"/>
    <w:rsid w:val="77F833B1"/>
    <w:rsid w:val="7C7A5EC4"/>
    <w:rsid w:val="7F76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sz w:val="24"/>
      <w:szCs w:val="24"/>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DELL</cp:lastModifiedBy>
  <cp:lastPrinted>2018-04-23T14:54:00Z</cp:lastPrinted>
  <dcterms:modified xsi:type="dcterms:W3CDTF">2018-05-17T02:22:10Z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