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cs="仿宋_GB2312"/>
          <w:sz w:val="32"/>
        </w:rPr>
        <w:t>预算、绩效、支付电子一体化信息化建设</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cs="仿宋_GB2312"/>
          <w:sz w:val="32"/>
        </w:rPr>
        <w:t>襄汾县财政局</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cs="仿宋_GB2312"/>
          <w:sz w:val="32"/>
        </w:rPr>
        <w:t>襄汾县财政局-117001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一、项目的基本情况</w:t>
      </w:r>
      <w:r>
        <w:tab/>
      </w:r>
      <w:r>
        <w:fldChar w:fldCharType="begin"/>
      </w:r>
      <w:r>
        <w:instrText xml:space="preserve"> PAGEREF _Toc99029655 \h </w:instrText>
      </w:r>
      <w:r>
        <w:fldChar w:fldCharType="separate"/>
      </w:r>
      <w:r>
        <w:t>1</w:t>
      </w:r>
      <w:r>
        <w:fldChar w:fldCharType="end"/>
      </w:r>
    </w:p>
    <w:p>
      <w:pPr>
        <w:pStyle w:val="21"/>
        <w:tabs>
          <w:tab w:val="right" w:leader="dot" w:pos="8296"/>
        </w:tabs>
        <w:ind w:firstLine="400"/>
        <w:rPr>
          <w:rFonts w:asciiTheme="minorHAnsi" w:hAnsiTheme="minorHAnsi" w:eastAsiaTheme="minorEastAsia" w:cstheme="minorBidi"/>
          <w:smallCaps w:val="0"/>
          <w:sz w:val="21"/>
          <w:szCs w:val="22"/>
        </w:rPr>
      </w:pPr>
      <w:r>
        <w:t>（一）项目概况</w:t>
      </w:r>
      <w:r>
        <w:tab/>
      </w:r>
      <w:r>
        <w:fldChar w:fldCharType="begin"/>
      </w:r>
      <w:r>
        <w:instrText xml:space="preserve"> PAGEREF _Toc99029656 \h </w:instrText>
      </w:r>
      <w:r>
        <w:fldChar w:fldCharType="separate"/>
      </w:r>
      <w:r>
        <w:t>1</w:t>
      </w:r>
      <w:r>
        <w:fldChar w:fldCharType="end"/>
      </w:r>
    </w:p>
    <w:p>
      <w:pPr>
        <w:pStyle w:val="21"/>
        <w:tabs>
          <w:tab w:val="right" w:leader="dot" w:pos="8296"/>
        </w:tabs>
        <w:ind w:firstLine="400"/>
        <w:rPr>
          <w:rFonts w:asciiTheme="minorHAnsi" w:hAnsiTheme="minorHAnsi" w:eastAsiaTheme="minorEastAsia" w:cstheme="minorBidi"/>
          <w:smallCaps w:val="0"/>
          <w:sz w:val="21"/>
          <w:szCs w:val="22"/>
        </w:rPr>
      </w:pPr>
      <w:r>
        <w:t>（二）预算执行情况</w:t>
      </w:r>
      <w:r>
        <w:tab/>
      </w:r>
      <w:r>
        <w:fldChar w:fldCharType="begin"/>
      </w:r>
      <w:r>
        <w:instrText xml:space="preserve"> PAGEREF _Toc99029657 \h </w:instrText>
      </w:r>
      <w:r>
        <w:fldChar w:fldCharType="separate"/>
      </w:r>
      <w:r>
        <w:t>2</w:t>
      </w:r>
      <w:r>
        <w:fldChar w:fldCharType="end"/>
      </w:r>
    </w:p>
    <w:p>
      <w:pPr>
        <w:pStyle w:val="21"/>
        <w:tabs>
          <w:tab w:val="right" w:leader="dot" w:pos="8296"/>
        </w:tabs>
        <w:ind w:firstLine="400"/>
        <w:rPr>
          <w:rFonts w:asciiTheme="minorHAnsi" w:hAnsiTheme="minorHAnsi" w:eastAsiaTheme="minorEastAsia" w:cstheme="minorBidi"/>
          <w:smallCaps w:val="0"/>
          <w:sz w:val="21"/>
          <w:szCs w:val="22"/>
        </w:rPr>
      </w:pPr>
      <w:r>
        <w:t>（三）项目绩效目标</w:t>
      </w:r>
      <w:r>
        <w:tab/>
      </w:r>
      <w:r>
        <w:fldChar w:fldCharType="begin"/>
      </w:r>
      <w:r>
        <w:instrText xml:space="preserve"> PAGEREF _Toc99029658 \h </w:instrText>
      </w:r>
      <w:r>
        <w:fldChar w:fldCharType="separate"/>
      </w:r>
      <w:r>
        <w:t>2</w:t>
      </w:r>
      <w:r>
        <w:fldChar w:fldCharType="end"/>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二、项目绩效情况</w:t>
      </w:r>
      <w:r>
        <w:tab/>
      </w:r>
      <w:r>
        <w:fldChar w:fldCharType="begin"/>
      </w:r>
      <w:r>
        <w:instrText xml:space="preserve"> PAGEREF _Toc99029659 \h </w:instrText>
      </w:r>
      <w:r>
        <w:fldChar w:fldCharType="separate"/>
      </w:r>
      <w:r>
        <w:t>3</w:t>
      </w:r>
      <w:r>
        <w:fldChar w:fldCharType="end"/>
      </w:r>
    </w:p>
    <w:p>
      <w:pPr>
        <w:pStyle w:val="21"/>
        <w:tabs>
          <w:tab w:val="right" w:leader="dot" w:pos="8296"/>
        </w:tabs>
        <w:ind w:firstLine="400"/>
        <w:rPr>
          <w:rFonts w:asciiTheme="minorHAnsi" w:hAnsiTheme="minorHAnsi" w:eastAsiaTheme="minorEastAsia" w:cstheme="minorBidi"/>
          <w:smallCaps w:val="0"/>
          <w:sz w:val="21"/>
          <w:szCs w:val="22"/>
        </w:rPr>
      </w:pPr>
      <w:r>
        <w:t>（一）预算执行情况</w:t>
      </w:r>
      <w:r>
        <w:tab/>
      </w:r>
      <w:r>
        <w:fldChar w:fldCharType="begin"/>
      </w:r>
      <w:r>
        <w:instrText xml:space="preserve"> PAGEREF _Toc99029660 \h </w:instrText>
      </w:r>
      <w:r>
        <w:fldChar w:fldCharType="separate"/>
      </w:r>
      <w:r>
        <w:t>3</w:t>
      </w:r>
      <w:r>
        <w:fldChar w:fldCharType="end"/>
      </w:r>
    </w:p>
    <w:p>
      <w:pPr>
        <w:pStyle w:val="21"/>
        <w:tabs>
          <w:tab w:val="right" w:leader="dot" w:pos="8296"/>
        </w:tabs>
        <w:ind w:firstLine="400"/>
        <w:rPr>
          <w:rFonts w:asciiTheme="minorHAnsi" w:hAnsiTheme="minorHAnsi" w:eastAsiaTheme="minorEastAsia" w:cstheme="minorBidi"/>
          <w:smallCaps w:val="0"/>
          <w:sz w:val="21"/>
          <w:szCs w:val="22"/>
        </w:rPr>
      </w:pPr>
      <w:r>
        <w:t>（三）项目效益情况</w:t>
      </w:r>
      <w:r>
        <w:tab/>
      </w:r>
      <w:r>
        <w:fldChar w:fldCharType="begin"/>
      </w:r>
      <w:r>
        <w:instrText xml:space="preserve"> PAGEREF _Toc99029661 \h </w:instrText>
      </w:r>
      <w:r>
        <w:fldChar w:fldCharType="separate"/>
      </w:r>
      <w:r>
        <w:t>5</w:t>
      </w:r>
      <w:r>
        <w:fldChar w:fldCharType="end"/>
      </w:r>
    </w:p>
    <w:p>
      <w:pPr>
        <w:pStyle w:val="21"/>
        <w:tabs>
          <w:tab w:val="right" w:leader="dot" w:pos="8296"/>
        </w:tabs>
        <w:ind w:firstLine="400"/>
        <w:rPr>
          <w:rFonts w:asciiTheme="minorHAnsi" w:hAnsiTheme="minorHAnsi" w:eastAsiaTheme="minorEastAsia" w:cstheme="minorBidi"/>
          <w:smallCaps w:val="0"/>
          <w:sz w:val="21"/>
          <w:szCs w:val="22"/>
        </w:rPr>
      </w:pPr>
      <w:r>
        <w:t>（四）项目满意度情况</w:t>
      </w:r>
      <w:r>
        <w:tab/>
      </w:r>
      <w:r>
        <w:fldChar w:fldCharType="begin"/>
      </w:r>
      <w:r>
        <w:instrText xml:space="preserve"> PAGEREF _Toc99029662 \h </w:instrText>
      </w:r>
      <w:r>
        <w:fldChar w:fldCharType="separate"/>
      </w:r>
      <w:r>
        <w:t>6</w:t>
      </w:r>
      <w:r>
        <w:fldChar w:fldCharType="end"/>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三、项目绩效分析</w:t>
      </w:r>
      <w:r>
        <w:tab/>
      </w:r>
      <w:r>
        <w:fldChar w:fldCharType="begin"/>
      </w:r>
      <w:r>
        <w:instrText xml:space="preserve"> PAGEREF _Toc99029663 \h </w:instrText>
      </w:r>
      <w:r>
        <w:fldChar w:fldCharType="separate"/>
      </w:r>
      <w:r>
        <w:t>6</w:t>
      </w:r>
      <w:r>
        <w:fldChar w:fldCharType="end"/>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四、项目主要经验做法</w:t>
      </w:r>
      <w:r>
        <w:tab/>
      </w:r>
      <w:r>
        <w:fldChar w:fldCharType="begin"/>
      </w:r>
      <w:r>
        <w:instrText xml:space="preserve"> PAGEREF _Toc99029664 \h </w:instrText>
      </w:r>
      <w:r>
        <w:fldChar w:fldCharType="separate"/>
      </w:r>
      <w:r>
        <w:t>7</w:t>
      </w:r>
      <w:r>
        <w:fldChar w:fldCharType="end"/>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五、项目管理中存在问题及原因分析</w:t>
      </w:r>
      <w:r>
        <w:tab/>
      </w:r>
      <w:r>
        <w:fldChar w:fldCharType="begin"/>
      </w:r>
      <w:r>
        <w:instrText xml:space="preserve"> PAGEREF _Toc99029665 \h </w:instrText>
      </w:r>
      <w:r>
        <w:fldChar w:fldCharType="separate"/>
      </w:r>
      <w:r>
        <w:t>7</w:t>
      </w:r>
      <w:r>
        <w:fldChar w:fldCharType="end"/>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六、进一步加强项目管理措施及建议</w:t>
      </w:r>
      <w:r>
        <w:tab/>
      </w:r>
      <w:r>
        <w:fldChar w:fldCharType="begin"/>
      </w:r>
      <w:r>
        <w:instrText xml:space="preserve"> PAGEREF _Toc99029666 \h </w:instrText>
      </w:r>
      <w:r>
        <w:fldChar w:fldCharType="separate"/>
      </w:r>
      <w:r>
        <w:t>8</w:t>
      </w:r>
      <w:r>
        <w:fldChar w:fldCharType="end"/>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附件1.项目支出绩效自评表</w:t>
      </w:r>
      <w:r>
        <w:tab/>
      </w:r>
      <w:r>
        <w:fldChar w:fldCharType="begin"/>
      </w:r>
      <w:r>
        <w:instrText xml:space="preserve"> PAGEREF _Toc99029667 \h </w:instrText>
      </w:r>
      <w:r>
        <w:fldChar w:fldCharType="separate"/>
      </w:r>
      <w:r>
        <w:t>1</w:t>
      </w:r>
      <w:r>
        <w:fldChar w:fldCharType="end"/>
      </w:r>
    </w:p>
    <w:p>
      <w:pPr>
        <w:pStyle w:val="18"/>
        <w:tabs>
          <w:tab w:val="right" w:leader="dot" w:pos="8296"/>
        </w:tabs>
        <w:ind w:firstLine="402"/>
        <w:rPr>
          <w:rFonts w:asciiTheme="minorHAnsi" w:hAnsiTheme="minorHAnsi" w:eastAsiaTheme="minorEastAsia" w:cstheme="minorBidi"/>
          <w:b w:val="0"/>
          <w:bCs w:val="0"/>
          <w:caps w:val="0"/>
          <w:sz w:val="21"/>
          <w:szCs w:val="22"/>
        </w:rPr>
      </w:pPr>
      <w:r>
        <w:rPr>
          <w:rFonts w:ascii="仿宋" w:hAnsi="仿宋" w:eastAsia="仿宋" w:cs="仿宋"/>
          <w:bCs w:val="0"/>
        </w:rPr>
        <w:t>附件2.绩效自评相关资料</w:t>
      </w:r>
      <w:r>
        <w:tab/>
      </w:r>
      <w:r>
        <w:fldChar w:fldCharType="begin"/>
      </w:r>
      <w:r>
        <w:instrText xml:space="preserve"> PAGEREF _Toc99029668 \h </w:instrText>
      </w:r>
      <w:r>
        <w:fldChar w:fldCharType="separate"/>
      </w:r>
      <w:r>
        <w:t>4</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tabs>
          <w:tab w:val="left" w:pos="3569"/>
        </w:tabs>
        <w:ind w:firstLine="560"/>
        <w:rPr>
          <w:szCs w:val="44"/>
        </w:rPr>
      </w:pPr>
      <w:r>
        <w:rPr>
          <w:szCs w:val="44"/>
        </w:rPr>
        <w:tab/>
      </w:r>
    </w:p>
    <w:p>
      <w:pPr>
        <w:ind w:firstLine="560"/>
        <w:rPr>
          <w:szCs w:val="44"/>
        </w:rPr>
      </w:pPr>
    </w:p>
    <w:p>
      <w:pPr>
        <w:ind w:firstLine="560"/>
        <w:rPr>
          <w:szCs w:val="44"/>
        </w:rPr>
      </w:pPr>
    </w:p>
    <w:p>
      <w:pPr>
        <w:ind w:firstLine="560"/>
        <w:rPr>
          <w:szCs w:val="44"/>
        </w:rPr>
      </w:pP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99029655"/>
      <w:r>
        <w:rPr>
          <w:rFonts w:hint="eastAsia" w:ascii="仿宋" w:hAnsi="仿宋" w:eastAsia="仿宋" w:cs="仿宋"/>
          <w:b/>
          <w:bCs w:val="0"/>
        </w:rPr>
        <w:t>一、项目的基本情况</w:t>
      </w:r>
      <w:bookmarkEnd w:id="0"/>
    </w:p>
    <w:p>
      <w:pPr>
        <w:pStyle w:val="46"/>
        <w:ind w:left="560"/>
      </w:pPr>
      <w:bookmarkStart w:id="1" w:name="_Toc99029656"/>
      <w:r>
        <w:rPr>
          <w:rFonts w:hint="eastAsia"/>
        </w:rPr>
        <w:t>（一）项目概况</w:t>
      </w:r>
      <w:bookmarkEnd w:id="1"/>
    </w:p>
    <w:p>
      <w:pPr>
        <w:pStyle w:val="44"/>
        <w:ind w:left="280" w:firstLine="562"/>
      </w:pPr>
      <w:r>
        <w:rPr>
          <w:rFonts w:hint="eastAsia"/>
          <w:b/>
          <w:bCs/>
        </w:rPr>
        <w:t>项目概况：</w:t>
      </w:r>
      <w:r>
        <w:t>根据省财政厅要求预算、绩效、支付施行电子国库一体化系统管理。</w:t>
      </w:r>
    </w:p>
    <w:p>
      <w:pPr>
        <w:pStyle w:val="44"/>
        <w:ind w:left="280" w:firstLine="562"/>
      </w:pPr>
      <w:r>
        <w:rPr>
          <w:rFonts w:hint="eastAsia"/>
          <w:b/>
          <w:bCs/>
        </w:rPr>
        <w:t>立项依据：</w:t>
      </w:r>
      <w:r>
        <w:t>全</w:t>
      </w:r>
      <w:r>
        <w:rPr>
          <w:rFonts w:hint="eastAsia"/>
        </w:rPr>
        <w:t>省</w:t>
      </w:r>
      <w:r>
        <w:t>要求实施预算、绩效、国库支付电子一体化系统管理。</w:t>
      </w:r>
    </w:p>
    <w:p>
      <w:pPr>
        <w:pStyle w:val="44"/>
        <w:ind w:left="280" w:firstLine="562"/>
      </w:pPr>
      <w:r>
        <w:rPr>
          <w:rFonts w:hint="eastAsia"/>
          <w:b/>
          <w:bCs/>
        </w:rPr>
        <w:t>设立的必要性：</w:t>
      </w:r>
      <w:r>
        <w:rPr>
          <w:rFonts w:hint="eastAsia"/>
        </w:rPr>
        <w:t>根据省财政厅要求，全省实施预算、绩效、国库支付、核算等一体化系统管理，实施经费保障项目。</w:t>
      </w:r>
    </w:p>
    <w:p>
      <w:pPr>
        <w:pStyle w:val="44"/>
        <w:ind w:left="280" w:firstLine="560"/>
      </w:pPr>
      <w:r>
        <w:rPr>
          <w:rFonts w:hint="eastAsia"/>
        </w:rPr>
        <w:t>保证项目实施的措施与制度：</w:t>
      </w:r>
      <w:r>
        <w:t>根据省财政厅下发的预算、绩效、国库支付电子一体化的配套资金文件进行按时拨付。</w:t>
      </w:r>
    </w:p>
    <w:p>
      <w:pPr>
        <w:pStyle w:val="44"/>
        <w:ind w:left="280" w:firstLine="562"/>
      </w:pPr>
      <w:r>
        <w:rPr>
          <w:rFonts w:hint="eastAsia"/>
          <w:b/>
          <w:bCs/>
        </w:rPr>
        <w:t>项目实施计划：</w:t>
      </w:r>
      <w:r>
        <w:t>2021年1月全</w:t>
      </w:r>
      <w:r>
        <w:rPr>
          <w:rFonts w:hint="eastAsia"/>
        </w:rPr>
        <w:t>省</w:t>
      </w:r>
      <w:r>
        <w:t>全面开始实施预算、绩效、国库支付电子一体化系统管理。</w:t>
      </w:r>
    </w:p>
    <w:p>
      <w:pPr>
        <w:widowControl/>
        <w:ind w:firstLine="0" w:firstLineChars="0"/>
        <w:jc w:val="left"/>
        <w:rPr>
          <w:rFonts w:ascii="Times New Roman" w:hAnsi="Times New Roman" w:cs="Times New Roman"/>
          <w:kern w:val="0"/>
          <w:szCs w:val="28"/>
        </w:rPr>
      </w:pPr>
      <w:r>
        <w:br w:type="page"/>
      </w:r>
    </w:p>
    <w:p>
      <w:pPr>
        <w:pStyle w:val="46"/>
        <w:ind w:left="560"/>
      </w:pPr>
      <w:bookmarkStart w:id="2" w:name="_Toc99029657"/>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131.4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131.4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131.4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131.4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131.4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131.4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131.4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131.4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131.4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99029658"/>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根据省财政厅要求，2021年全</w:t>
      </w:r>
      <w:r>
        <w:rPr>
          <w:rFonts w:hint="eastAsia"/>
        </w:rPr>
        <w:t>省</w:t>
      </w:r>
      <w:r>
        <w:t>全面实施</w:t>
      </w:r>
      <w:r>
        <w:rPr>
          <w:rFonts w:hint="eastAsia"/>
        </w:rPr>
        <w:t>推广</w:t>
      </w:r>
      <w:r>
        <w:t>预算、绩效、国库支付电子一体化系统管理。</w:t>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根据省财政厅要求，2021年全</w:t>
      </w:r>
      <w:r>
        <w:rPr>
          <w:rFonts w:hint="eastAsia"/>
        </w:rPr>
        <w:t>省</w:t>
      </w:r>
      <w:r>
        <w:t>全面实施</w:t>
      </w:r>
      <w:r>
        <w:rPr>
          <w:rFonts w:hint="eastAsia"/>
        </w:rPr>
        <w:t>推广</w:t>
      </w:r>
      <w:r>
        <w:t>预算、绩效、国库支付电子一体化系统管理。</w:t>
      </w:r>
    </w:p>
    <w:p>
      <w:pPr>
        <w:pStyle w:val="44"/>
        <w:ind w:firstLine="560"/>
      </w:pPr>
    </w:p>
    <w:p>
      <w:pPr>
        <w:pStyle w:val="52"/>
        <w:rPr>
          <w:rFonts w:ascii="仿宋" w:hAnsi="仿宋" w:eastAsia="仿宋" w:cs="仿宋"/>
          <w:b/>
          <w:bCs w:val="0"/>
        </w:rPr>
      </w:pPr>
      <w:bookmarkStart w:id="4" w:name="_Toc99029659"/>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预算、绩效、支付电子一体化信息化建设</w:t>
      </w:r>
      <w:r>
        <w:rPr>
          <w:rFonts w:hint="eastAsia"/>
        </w:rPr>
        <w:t>项目绩效自评价结果为</w:t>
      </w:r>
      <w:r>
        <w:t>:</w:t>
      </w:r>
      <w:r>
        <w:rPr>
          <w:rFonts w:hint="eastAsia"/>
        </w:rPr>
        <w:t>总得分</w:t>
      </w:r>
      <w:r>
        <w:t>94.9</w:t>
      </w:r>
      <w:r>
        <w:rPr>
          <w:rFonts w:hint="eastAsia"/>
        </w:rPr>
        <w:t>分，属于</w:t>
      </w:r>
      <w:r>
        <w:t>"优秀"</w:t>
      </w:r>
      <w:r>
        <w:rPr>
          <w:rFonts w:hint="eastAsia"/>
        </w:rPr>
        <w:t>。</w:t>
      </w:r>
    </w:p>
    <w:p>
      <w:pPr>
        <w:pStyle w:val="46"/>
        <w:ind w:left="560"/>
      </w:pPr>
      <w:bookmarkStart w:id="5" w:name="_Toc99029660"/>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562"/>
        <w:jc w:val="left"/>
        <w:rPr>
          <w:rFonts w:ascii="Times New Roman" w:hAnsi="Times New Roman" w:cs="Times New Roman"/>
          <w:b/>
          <w:bCs/>
          <w:kern w:val="0"/>
          <w:szCs w:val="32"/>
        </w:rPr>
      </w:pPr>
      <w:r>
        <w:rPr>
          <w:rFonts w:hint="eastAsia" w:ascii="Times New Roman" w:hAnsi="Times New Roman" w:cs="Times New Roman"/>
          <w:b/>
          <w:bCs/>
          <w:kern w:val="0"/>
          <w:szCs w:val="32"/>
        </w:rPr>
        <w:t>（二）项目产出情况</w:t>
      </w:r>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预算一体化</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50万元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0万元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0</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绩效系统</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38万元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38万元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电子卖场服务费</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12万元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12万元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财政信息网络安全保护系统质保金</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7万元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7万元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支付电子化管理系统</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27万元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27万元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政府采购率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系统平台故障解决率（%）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系统正常运行率（%）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系统故障处置及时性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采购完成及时率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财政信息化建设经费</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134万元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131.4万元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4.9</w:t>
            </w:r>
          </w:p>
        </w:tc>
      </w:tr>
    </w:tbl>
    <w:p>
      <w:pPr>
        <w:ind w:firstLine="0" w:firstLineChars="0"/>
        <w:rPr>
          <w:szCs w:val="44"/>
        </w:rPr>
      </w:pPr>
    </w:p>
    <w:p>
      <w:pPr>
        <w:pStyle w:val="46"/>
        <w:ind w:left="560"/>
      </w:pPr>
      <w:bookmarkStart w:id="6" w:name="_Toc99029661"/>
      <w:r>
        <w:rPr>
          <w:rFonts w:hint="eastAsia"/>
        </w:rPr>
        <w:t>（三）项目效益情况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提高管理服务水平</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满意</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提高质量监管及相关业务的服务水平</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积极营造“办事效率高，发展服务环境优”的质量监管方式</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有利于促进建立运行保障长效机制</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显著提高</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可持续影响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可持续</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r>
    </w:tbl>
    <w:p>
      <w:pPr>
        <w:ind w:firstLine="0" w:firstLineChars="0"/>
        <w:rPr>
          <w:szCs w:val="44"/>
        </w:rPr>
      </w:pPr>
    </w:p>
    <w:p>
      <w:pPr>
        <w:pStyle w:val="46"/>
        <w:ind w:left="560"/>
        <w:rPr>
          <w:szCs w:val="44"/>
        </w:rPr>
      </w:pPr>
      <w:r>
        <w:rPr>
          <w:szCs w:val="44"/>
        </w:rPr>
        <w:br w:type="page"/>
      </w:r>
      <w:bookmarkStart w:id="7" w:name="_Toc99029662"/>
      <w:r>
        <w:rPr>
          <w:rFonts w:hint="eastAsia"/>
        </w:rPr>
        <w:t>（四）项目满意度情况</w:t>
      </w:r>
      <w:bookmarkEnd w:id="7"/>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工作人员满意度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r>
    </w:tbl>
    <w:p>
      <w:pPr>
        <w:ind w:firstLine="0" w:firstLineChars="0"/>
        <w:rPr>
          <w:szCs w:val="44"/>
        </w:rPr>
      </w:pPr>
    </w:p>
    <w:p>
      <w:pPr>
        <w:pStyle w:val="52"/>
        <w:rPr>
          <w:rFonts w:ascii="仿宋" w:hAnsi="仿宋" w:eastAsia="仿宋" w:cs="仿宋"/>
          <w:b/>
          <w:bCs w:val="0"/>
        </w:rPr>
      </w:pPr>
      <w:bookmarkStart w:id="8" w:name="_Toc99029663"/>
      <w:r>
        <w:rPr>
          <w:rFonts w:hint="eastAsia" w:ascii="仿宋" w:hAnsi="仿宋" w:eastAsia="仿宋" w:cs="仿宋"/>
          <w:b/>
          <w:bCs w:val="0"/>
        </w:rPr>
        <w:t>三、</w:t>
      </w:r>
      <w:bookmarkStart w:id="9" w:name="_Toc23655"/>
      <w:bookmarkStart w:id="10" w:name="_Toc17451"/>
      <w:r>
        <w:rPr>
          <w:rFonts w:hint="eastAsia" w:ascii="仿宋" w:hAnsi="仿宋" w:eastAsia="仿宋" w:cs="仿宋"/>
          <w:b/>
          <w:bCs w:val="0"/>
        </w:rPr>
        <w:t>项目绩效分析</w:t>
      </w:r>
      <w:bookmarkEnd w:id="8"/>
      <w:bookmarkEnd w:id="9"/>
      <w:bookmarkEnd w:id="10"/>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ind w:left="425" w:firstLine="560"/>
        <w:rPr>
          <w:rFonts w:ascii="仿宋_GB2312"/>
          <w:bCs/>
        </w:rPr>
      </w:pPr>
      <w:r>
        <w:rPr>
          <w:rFonts w:hint="eastAsia" w:ascii="仿宋_GB2312"/>
          <w:bCs/>
        </w:rPr>
        <w:t>年初预算批复</w:t>
      </w:r>
      <w:r>
        <w:rPr>
          <w:rFonts w:ascii="仿宋_GB2312"/>
          <w:bCs/>
        </w:rPr>
        <w:t>134</w:t>
      </w:r>
      <w:r>
        <w:rPr>
          <w:rFonts w:hint="eastAsia" w:ascii="仿宋_GB2312"/>
          <w:bCs/>
        </w:rPr>
        <w:t>万元，全年预算资金</w:t>
      </w:r>
      <w:r>
        <w:rPr>
          <w:rFonts w:ascii="仿宋_GB2312"/>
          <w:bCs/>
        </w:rPr>
        <w:t>131.4</w:t>
      </w:r>
      <w:r>
        <w:rPr>
          <w:rFonts w:hint="eastAsia" w:ascii="仿宋_GB2312"/>
          <w:bCs/>
        </w:rPr>
        <w:t>万元，实际到位资金</w:t>
      </w:r>
      <w:r>
        <w:rPr>
          <w:rFonts w:ascii="仿宋_GB2312"/>
          <w:bCs/>
        </w:rPr>
        <w:t>131.4</w:t>
      </w:r>
      <w:r>
        <w:rPr>
          <w:rFonts w:hint="eastAsia" w:ascii="仿宋_GB2312"/>
          <w:bCs/>
        </w:rPr>
        <w:t>万元。全年执行资金</w:t>
      </w:r>
      <w:r>
        <w:rPr>
          <w:rFonts w:ascii="仿宋_GB2312"/>
          <w:bCs/>
        </w:rPr>
        <w:t>131.4</w:t>
      </w:r>
      <w:r>
        <w:rPr>
          <w:rFonts w:hint="eastAsia" w:ascii="仿宋_GB2312"/>
          <w:bCs/>
        </w:rPr>
        <w:t>万元。预算执行率达到100%。</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firstLine="1120" w:firstLineChars="400"/>
        <w:rPr>
          <w:rFonts w:ascii="仿宋_GB2312"/>
          <w:bCs/>
        </w:rPr>
      </w:pPr>
      <w:r>
        <w:rPr>
          <w:rFonts w:hint="eastAsia" w:ascii="仿宋_GB2312"/>
          <w:bCs/>
        </w:rPr>
        <w:t>产出指标：三级数量指标预算一体化目标值50万元，业绩值0万元，完成率0%，偏差原因由于2021年度是实施推广第一年等各种原因，省厅没有收取实施运维费。支付电子化管理系统目标值27万元，业绩值27万元，完成率100%。绩效系统目标值38万元，业绩值38万元，完成率100%。电子卖场服务费目标值12万元，业绩值12万元，完成率100%。财政信息网络安全保护等级系统质保金目标值7万元，业绩值7万元，完成率100%；三级质量指标政府采购率目标值100%，业绩值100%，完成率100%。系统平台故障解决率目标值100%，业绩值100%，完成率100%。系统运行正常率目标值≥95%，业绩值≥95%，完成率100%；三级时效指标系统故障处置及时性目标值及时，业绩值及时，完成率100%。采购完成及时率目标值及时，业绩值及时，完成率100%。</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1120" w:firstLineChars="400"/>
        <w:rPr>
          <w:rFonts w:ascii="仿宋_GB2312"/>
          <w:bCs/>
        </w:rPr>
      </w:pPr>
      <w:r>
        <w:rPr>
          <w:rFonts w:hint="eastAsia" w:ascii="仿宋_GB2312"/>
          <w:bCs/>
        </w:rPr>
        <w:t>效益指标：三级社会效益指标提高管理服务水平目标值满意，业绩值满意，完成率100%。提高质量监管及相关业务的服务水平目标值</w:t>
      </w:r>
      <w:r>
        <w:rPr>
          <w:rFonts w:ascii="仿宋_GB2312"/>
          <w:bCs/>
        </w:rPr>
        <w:t>积极营造“办事效率高，发展服务环境优”的质量监管方式</w:t>
      </w:r>
      <w:r>
        <w:rPr>
          <w:rFonts w:hint="eastAsia" w:ascii="仿宋_GB2312"/>
          <w:bCs/>
        </w:rPr>
        <w:t>，业绩值积极营造，完成率100%；三级可持续影响指标有利于促进建立运行保障长效机制目标值显著提高，业绩值显著提高，完成率100%。可持续影响目标值可持续，业绩值可持续，完成率100%。</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ascii="仿宋_GB2312"/>
          <w:bCs/>
        </w:rPr>
        <w:t>满意度指标：三级服务对象满意度指标工作人员满意度目标值满意，业绩值满意，完成率100%。</w:t>
      </w:r>
    </w:p>
    <w:p>
      <w:pPr>
        <w:pStyle w:val="52"/>
      </w:pPr>
      <w:bookmarkStart w:id="11" w:name="_Toc99029664"/>
      <w:r>
        <w:rPr>
          <w:rFonts w:hint="eastAsia" w:ascii="仿宋" w:hAnsi="仿宋" w:eastAsia="仿宋" w:cs="仿宋"/>
          <w:b/>
          <w:bCs w:val="0"/>
        </w:rPr>
        <w:t>四、项目主要经验做法</w:t>
      </w:r>
      <w:bookmarkEnd w:id="11"/>
      <w:r>
        <w:t xml:space="preserve"> </w:t>
      </w:r>
    </w:p>
    <w:p>
      <w:pPr>
        <w:pStyle w:val="44"/>
        <w:ind w:firstLine="560"/>
      </w:pPr>
      <w:r>
        <w:rPr>
          <w:rFonts w:hint="eastAsia"/>
        </w:rPr>
        <w:t>根据省财政厅要求对预算、绩效、支付、核算、财报、决算、电子卖场等系统的维护费用，按合同和文件支付，保障省、市、县、部门、单位系统工作正常化，保障项目运行经费。</w:t>
      </w:r>
    </w:p>
    <w:p>
      <w:pPr>
        <w:pStyle w:val="52"/>
        <w:rPr>
          <w:rFonts w:ascii="仿宋" w:hAnsi="仿宋" w:eastAsia="仿宋" w:cs="仿宋"/>
          <w:b/>
          <w:bCs w:val="0"/>
        </w:rPr>
      </w:pPr>
      <w:bookmarkStart w:id="12" w:name="_Toc99029665"/>
      <w:r>
        <w:rPr>
          <w:rFonts w:hint="eastAsia" w:ascii="仿宋" w:hAnsi="仿宋" w:eastAsia="仿宋" w:cs="仿宋"/>
          <w:b/>
          <w:bCs w:val="0"/>
        </w:rPr>
        <w:t>五、项目管理中存在问题及原因分析</w:t>
      </w:r>
      <w:bookmarkEnd w:id="12"/>
    </w:p>
    <w:p>
      <w:pPr>
        <w:pStyle w:val="44"/>
        <w:ind w:firstLine="560"/>
      </w:pPr>
      <w:r>
        <w:rPr>
          <w:rFonts w:hint="eastAsia"/>
        </w:rPr>
        <w:t>继续推进预算管理一体化系统，形成一套完整的操作体系，实现从立项目、预算编制和批复、资金申请、资金拨付到项目结束等的一</w:t>
      </w:r>
      <w:r>
        <w:rPr>
          <w:rFonts w:hint="eastAsia"/>
          <w:lang w:eastAsia="zh-CN"/>
        </w:rPr>
        <w:t>系列</w:t>
      </w:r>
      <w:bookmarkStart w:id="16" w:name="_GoBack"/>
      <w:bookmarkEnd w:id="16"/>
      <w:r>
        <w:rPr>
          <w:rFonts w:hint="eastAsia"/>
        </w:rPr>
        <w:t>全程管理，以及对资金使用全程跟踪和监管。</w:t>
      </w:r>
    </w:p>
    <w:p>
      <w:pPr>
        <w:pStyle w:val="52"/>
        <w:rPr>
          <w:rFonts w:hint="eastAsia" w:ascii="仿宋" w:hAnsi="仿宋" w:eastAsia="仿宋" w:cs="仿宋"/>
          <w:b/>
          <w:bCs w:val="0"/>
        </w:rPr>
      </w:pPr>
      <w:bookmarkStart w:id="13" w:name="_Toc99029666"/>
      <w:r>
        <w:rPr>
          <w:rFonts w:hint="eastAsia" w:ascii="仿宋" w:hAnsi="仿宋" w:eastAsia="仿宋" w:cs="仿宋"/>
          <w:b/>
          <w:bCs w:val="0"/>
        </w:rPr>
        <w:t>六、进一步加强项目管理措施及建议</w:t>
      </w:r>
      <w:bookmarkEnd w:id="13"/>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继续推动一体化信息化建设，建立全面规范透明、标准科学、约束有力的预算制度，实现财政资金的全生命周期和动态监控。</w:t>
      </w:r>
    </w:p>
    <w:p>
      <w:pPr>
        <w:pStyle w:val="52"/>
        <w:rPr>
          <w:rFonts w:hint="eastAsia" w:ascii="仿宋" w:hAnsi="仿宋" w:eastAsia="仿宋" w:cs="仿宋"/>
          <w:b/>
          <w:bCs w:val="0"/>
        </w:rPr>
      </w:pPr>
      <w:bookmarkStart w:id="14" w:name="_Toc99029667"/>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4"/>
    </w:p>
    <w:tbl>
      <w:tblPr>
        <w:tblStyle w:val="24"/>
        <w:tblW w:w="0" w:type="auto"/>
        <w:tblInd w:w="0" w:type="dxa"/>
        <w:tblLayout w:type="autofit"/>
        <w:tblCellMar>
          <w:top w:w="0" w:type="dxa"/>
          <w:left w:w="0" w:type="dxa"/>
          <w:bottom w:w="0" w:type="dxa"/>
          <w:right w:w="0" w:type="dxa"/>
        </w:tblCellMar>
      </w:tblPr>
      <w:tblGrid>
        <w:gridCol w:w="1050"/>
        <w:gridCol w:w="723"/>
        <w:gridCol w:w="1642"/>
        <w:gridCol w:w="472"/>
        <w:gridCol w:w="2066"/>
        <w:gridCol w:w="799"/>
        <w:gridCol w:w="790"/>
        <w:gridCol w:w="914"/>
        <w:gridCol w:w="5507"/>
      </w:tblGrid>
      <w:tr>
        <w:tblPrEx>
          <w:tblCellMar>
            <w:top w:w="0" w:type="dxa"/>
            <w:left w:w="0" w:type="dxa"/>
            <w:bottom w:w="0" w:type="dxa"/>
            <w:right w:w="0" w:type="dxa"/>
          </w:tblCellMar>
        </w:tblPrEx>
        <w:trPr>
          <w:trHeight w:val="37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0" w:type="auto"/>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0" w:type="auto"/>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0" w:type="auto"/>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0" w:type="auto"/>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0" w:type="auto"/>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0" w:type="auto"/>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0" w:type="auto"/>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0" w:type="auto"/>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0" w:type="auto"/>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0" w:type="auto"/>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预算执行指标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预算执行指标</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预算执行率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产出指标</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数量指标</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预算一体化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50万元</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0万元</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根据省厅晋财信办（2020）6号文件，全省预算一体化系统实施推广，要求县级财政配套资金，由于省厅各种原因，未收取实施费、运维费。</w:t>
            </w: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支付电子化管理系统</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27万元</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27万元</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绩效系统</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38万元</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38万元</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电子卖场服务费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12万元</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12万元</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财政信息网络安全保护系统质保金</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7万元</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7万元</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质量指标</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系统平台故障解决率（%）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政府采购率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系统正常运行率（%）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时效指标</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系统故障处置及时性</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及时</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采购完成及时率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成本指标</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财政信息化建设经费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134万元</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131.4万元</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98.06%</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4.9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根据省厅晋财信办（2020）6号文件，全省预算一体化系统实施推广，要求县级财政配套资金，由于省厅各种原因，未收取实施费、运维费</w:t>
            </w:r>
          </w:p>
        </w:tc>
      </w:tr>
      <w:tr>
        <w:tblPrEx>
          <w:tblCellMar>
            <w:top w:w="0" w:type="dxa"/>
            <w:left w:w="0" w:type="dxa"/>
            <w:bottom w:w="0" w:type="dxa"/>
            <w:right w:w="0" w:type="dxa"/>
          </w:tblCellMar>
        </w:tblPrEx>
        <w:trPr>
          <w:trHeight w:val="394" w:hRule="atLeast"/>
        </w:trPr>
        <w:tc>
          <w:tcPr>
            <w:tcW w:w="0" w:type="auto"/>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效益指标</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社会效益</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提高管理服务水平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满意</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提高质量监管及相关业务的服务水平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积极营造“办事效率高，发展服务环境优”的质量监管方式</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可持续影响指标</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有利于促进建立运行保障长效机制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显著提高</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可持续影响</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可持续</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0" w:type="auto"/>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满意度指标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服务对象满意度指标</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工作人员满意度</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90%</w:t>
            </w:r>
          </w:p>
        </w:tc>
        <w:tc>
          <w:tcPr>
            <w:tcW w:w="0" w:type="auto"/>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100.00%</w:t>
            </w:r>
          </w:p>
        </w:tc>
        <w:tc>
          <w:tcPr>
            <w:tcW w:w="0" w:type="auto"/>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r>
              <w:rPr>
                <w:rFonts w:ascii="仿宋" w:hAnsi="DengXian" w:eastAsia="仿宋" w:cs="仿宋"/>
                <w:color w:val="000000"/>
                <w:kern w:val="0"/>
                <w:sz w:val="24"/>
                <w:szCs w:val="24"/>
                <w:highlight w:val="white"/>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DengXian"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0" w:type="auto"/>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0" w:type="auto"/>
            <w:tcBorders>
              <w:top w:val="single" w:color="auto" w:sz="4" w:space="0"/>
              <w:bottom w:val="single" w:color="000000" w:sz="4" w:space="0"/>
              <w:right w:val="nil"/>
            </w:tcBorders>
          </w:tcPr>
          <w:p>
            <w:pPr>
              <w:ind w:firstLine="440"/>
              <w:rPr>
                <w:rFonts w:ascii="仿宋_GB2312" w:hAnsi="Arial" w:cs="Arial"/>
                <w:sz w:val="22"/>
              </w:rPr>
            </w:pPr>
          </w:p>
        </w:tc>
        <w:tc>
          <w:tcPr>
            <w:tcW w:w="0" w:type="auto"/>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0" w:type="auto"/>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0" w:type="auto"/>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0" w:type="auto"/>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0" w:type="auto"/>
            <w:tcBorders>
              <w:top w:val="single" w:color="auto" w:sz="4" w:space="0"/>
              <w:left w:val="nil"/>
              <w:bottom w:val="single" w:color="000000" w:sz="4" w:space="0"/>
              <w:right w:val="nil"/>
            </w:tcBorders>
          </w:tcPr>
          <w:p>
            <w:pPr>
              <w:ind w:firstLine="440"/>
              <w:rPr>
                <w:rFonts w:ascii="仿宋_GB2312" w:hAnsi="Arial" w:cs="Arial"/>
                <w:sz w:val="22"/>
              </w:rPr>
            </w:pPr>
          </w:p>
        </w:tc>
        <w:tc>
          <w:tcPr>
            <w:tcW w:w="0" w:type="auto"/>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0" w:type="auto"/>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0" w:type="auto"/>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0" w:type="auto"/>
            <w:tcBorders>
              <w:top w:val="nil"/>
              <w:left w:val="nil"/>
              <w:bottom w:val="nil"/>
              <w:right w:val="nil"/>
            </w:tcBorders>
          </w:tcPr>
          <w:p>
            <w:pPr>
              <w:ind w:firstLine="400"/>
              <w:rPr>
                <w:rFonts w:ascii="Arial" w:hAnsi="Arial" w:cs="Arial"/>
                <w:vanish/>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0" w:type="auto"/>
            <w:tcBorders>
              <w:top w:val="nil"/>
              <w:left w:val="nil"/>
              <w:bottom w:val="nil"/>
              <w:right w:val="nil"/>
            </w:tcBorders>
          </w:tcPr>
          <w:p>
            <w:pPr>
              <w:ind w:firstLine="400"/>
              <w:rPr>
                <w:rFonts w:ascii="Arial" w:hAnsi="Arial" w:cs="Arial"/>
                <w:vanish/>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99029668"/>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5"/>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ngXian">
    <w:altName w:val="华文中宋"/>
    <w:panose1 w:val="02010600030101010101"/>
    <w:charset w:val="86"/>
    <w:family w:val="auto"/>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8</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412AF"/>
    <w:rsid w:val="000805D6"/>
    <w:rsid w:val="00080DE2"/>
    <w:rsid w:val="0009606F"/>
    <w:rsid w:val="000A2B0D"/>
    <w:rsid w:val="000C4E53"/>
    <w:rsid w:val="000C6D57"/>
    <w:rsid w:val="000E044C"/>
    <w:rsid w:val="001028E5"/>
    <w:rsid w:val="001507B7"/>
    <w:rsid w:val="00156586"/>
    <w:rsid w:val="00170CA4"/>
    <w:rsid w:val="0017285F"/>
    <w:rsid w:val="001A3CD2"/>
    <w:rsid w:val="001B4120"/>
    <w:rsid w:val="001C06A8"/>
    <w:rsid w:val="002003EB"/>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31912"/>
    <w:rsid w:val="003414CE"/>
    <w:rsid w:val="003474F7"/>
    <w:rsid w:val="00357560"/>
    <w:rsid w:val="00357F97"/>
    <w:rsid w:val="003A5DD6"/>
    <w:rsid w:val="003A6136"/>
    <w:rsid w:val="003B03AC"/>
    <w:rsid w:val="003B18A8"/>
    <w:rsid w:val="003C39F2"/>
    <w:rsid w:val="003E0487"/>
    <w:rsid w:val="003E1BB0"/>
    <w:rsid w:val="003E7B75"/>
    <w:rsid w:val="003F472D"/>
    <w:rsid w:val="00400D3F"/>
    <w:rsid w:val="00401866"/>
    <w:rsid w:val="00401D6B"/>
    <w:rsid w:val="00405A2B"/>
    <w:rsid w:val="004133EA"/>
    <w:rsid w:val="0042269C"/>
    <w:rsid w:val="00435764"/>
    <w:rsid w:val="00441BCE"/>
    <w:rsid w:val="00452CC6"/>
    <w:rsid w:val="004550E0"/>
    <w:rsid w:val="004551B8"/>
    <w:rsid w:val="00455292"/>
    <w:rsid w:val="00455C9F"/>
    <w:rsid w:val="00480C40"/>
    <w:rsid w:val="00492C52"/>
    <w:rsid w:val="004979FF"/>
    <w:rsid w:val="004B227E"/>
    <w:rsid w:val="004C6F6A"/>
    <w:rsid w:val="004E0FDB"/>
    <w:rsid w:val="004F24BE"/>
    <w:rsid w:val="00542BD3"/>
    <w:rsid w:val="00543E44"/>
    <w:rsid w:val="005654B3"/>
    <w:rsid w:val="00576C00"/>
    <w:rsid w:val="00577A09"/>
    <w:rsid w:val="00586F08"/>
    <w:rsid w:val="00593D5E"/>
    <w:rsid w:val="00594A06"/>
    <w:rsid w:val="005A080E"/>
    <w:rsid w:val="005A3D0F"/>
    <w:rsid w:val="005B1DE6"/>
    <w:rsid w:val="005B7922"/>
    <w:rsid w:val="005E4265"/>
    <w:rsid w:val="005E7218"/>
    <w:rsid w:val="00614D76"/>
    <w:rsid w:val="006314F7"/>
    <w:rsid w:val="00634C18"/>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D2198"/>
    <w:rsid w:val="007D5EED"/>
    <w:rsid w:val="007F5D03"/>
    <w:rsid w:val="00805ED9"/>
    <w:rsid w:val="00843FC2"/>
    <w:rsid w:val="00844C16"/>
    <w:rsid w:val="00850D03"/>
    <w:rsid w:val="00865E68"/>
    <w:rsid w:val="00872799"/>
    <w:rsid w:val="0089335B"/>
    <w:rsid w:val="00893ADD"/>
    <w:rsid w:val="008B49C9"/>
    <w:rsid w:val="008B6A5F"/>
    <w:rsid w:val="008C2871"/>
    <w:rsid w:val="008C72AA"/>
    <w:rsid w:val="008F371F"/>
    <w:rsid w:val="00910324"/>
    <w:rsid w:val="00926CFB"/>
    <w:rsid w:val="009520B5"/>
    <w:rsid w:val="0095796F"/>
    <w:rsid w:val="009856DA"/>
    <w:rsid w:val="00996005"/>
    <w:rsid w:val="009E11FC"/>
    <w:rsid w:val="00A01AD8"/>
    <w:rsid w:val="00A07C62"/>
    <w:rsid w:val="00A10898"/>
    <w:rsid w:val="00A41307"/>
    <w:rsid w:val="00A52539"/>
    <w:rsid w:val="00A56A97"/>
    <w:rsid w:val="00A67F57"/>
    <w:rsid w:val="00A709BA"/>
    <w:rsid w:val="00A7438C"/>
    <w:rsid w:val="00A74EF7"/>
    <w:rsid w:val="00A92A0A"/>
    <w:rsid w:val="00AA568B"/>
    <w:rsid w:val="00AB0F1D"/>
    <w:rsid w:val="00AB625C"/>
    <w:rsid w:val="00AC2951"/>
    <w:rsid w:val="00AD3144"/>
    <w:rsid w:val="00AD64A8"/>
    <w:rsid w:val="00B0412B"/>
    <w:rsid w:val="00B1212F"/>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3605A"/>
    <w:rsid w:val="00D71919"/>
    <w:rsid w:val="00D90DEA"/>
    <w:rsid w:val="00D97E83"/>
    <w:rsid w:val="00DC184E"/>
    <w:rsid w:val="00E06908"/>
    <w:rsid w:val="00E1052C"/>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72F14"/>
    <w:rsid w:val="00F870C6"/>
    <w:rsid w:val="00F92B58"/>
    <w:rsid w:val="00F96480"/>
    <w:rsid w:val="00FD0AF5"/>
    <w:rsid w:val="00FD1C02"/>
    <w:rsid w:val="00FD3022"/>
    <w:rsid w:val="00FD64C8"/>
    <w:rsid w:val="00FE4A15"/>
    <w:rsid w:val="00FF6DAB"/>
    <w:rsid w:val="9FE75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ngXian" w:hAnsi="DengXian" w:eastAsia="DengXi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3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标题 1 字符"/>
    <w:basedOn w:val="26"/>
    <w:link w:val="2"/>
    <w:qFormat/>
    <w:locked/>
    <w:uiPriority w:val="99"/>
    <w:rPr>
      <w:rFonts w:ascii="Times New Roman" w:hAnsi="Times New Roman" w:eastAsia="仿宋_GB2312" w:cs="Times New Roman"/>
      <w:b/>
      <w:bCs/>
      <w:kern w:val="44"/>
      <w:sz w:val="44"/>
      <w:szCs w:val="44"/>
    </w:rPr>
  </w:style>
  <w:style w:type="character" w:customStyle="1" w:styleId="30">
    <w:name w:val="标题 2 字符"/>
    <w:basedOn w:val="26"/>
    <w:link w:val="5"/>
    <w:qFormat/>
    <w:locked/>
    <w:uiPriority w:val="99"/>
    <w:rPr>
      <w:rFonts w:ascii="Cambria" w:hAnsi="Cambria" w:eastAsia="仿宋_GB2312" w:cs="Times New Roman"/>
      <w:b/>
      <w:bCs/>
      <w:kern w:val="0"/>
      <w:sz w:val="32"/>
      <w:szCs w:val="32"/>
    </w:rPr>
  </w:style>
  <w:style w:type="character" w:customStyle="1" w:styleId="31">
    <w:name w:val="标题 3 字符"/>
    <w:basedOn w:val="26"/>
    <w:link w:val="7"/>
    <w:qFormat/>
    <w:locked/>
    <w:uiPriority w:val="99"/>
    <w:rPr>
      <w:rFonts w:ascii="Calibri" w:hAnsi="Calibri" w:eastAsia="仿宋_GB2312" w:cs="Times New Roman"/>
      <w:bCs/>
      <w:kern w:val="0"/>
      <w:sz w:val="32"/>
      <w:szCs w:val="32"/>
    </w:rPr>
  </w:style>
  <w:style w:type="character" w:customStyle="1" w:styleId="32">
    <w:name w:val="标题 4 字符"/>
    <w:basedOn w:val="26"/>
    <w:link w:val="8"/>
    <w:semiHidden/>
    <w:qFormat/>
    <w:locked/>
    <w:uiPriority w:val="99"/>
    <w:rPr>
      <w:rFonts w:ascii="Cambria" w:hAnsi="Cambria" w:eastAsia="宋体" w:cs="Times New Roman"/>
      <w:b/>
      <w:bCs/>
      <w:kern w:val="0"/>
      <w:sz w:val="28"/>
      <w:szCs w:val="28"/>
    </w:rPr>
  </w:style>
  <w:style w:type="character" w:customStyle="1" w:styleId="33">
    <w:name w:val="页眉 字符"/>
    <w:basedOn w:val="26"/>
    <w:link w:val="17"/>
    <w:qFormat/>
    <w:locked/>
    <w:uiPriority w:val="99"/>
    <w:rPr>
      <w:rFonts w:cs="Times New Roman"/>
      <w:sz w:val="18"/>
      <w:szCs w:val="18"/>
    </w:rPr>
  </w:style>
  <w:style w:type="character" w:customStyle="1" w:styleId="34">
    <w:name w:val="页脚 字符"/>
    <w:basedOn w:val="26"/>
    <w:link w:val="16"/>
    <w:qFormat/>
    <w:locked/>
    <w:uiPriority w:val="99"/>
    <w:rPr>
      <w:rFonts w:cs="Times New Roman"/>
      <w:sz w:val="18"/>
      <w:szCs w:val="18"/>
    </w:rPr>
  </w:style>
  <w:style w:type="character" w:customStyle="1" w:styleId="35">
    <w:name w:val="正文文本缩进 字符"/>
    <w:basedOn w:val="26"/>
    <w:link w:val="4"/>
    <w:semiHidden/>
    <w:qFormat/>
    <w:locked/>
    <w:uiPriority w:val="99"/>
    <w:rPr>
      <w:rFonts w:ascii="Calibri" w:hAnsi="Calibri" w:eastAsia="仿宋_GB2312" w:cs="Times New Roman"/>
      <w:kern w:val="0"/>
      <w:sz w:val="20"/>
      <w:szCs w:val="20"/>
    </w:rPr>
  </w:style>
  <w:style w:type="character" w:customStyle="1" w:styleId="36">
    <w:name w:val="正文首行缩进 2 字符"/>
    <w:basedOn w:val="35"/>
    <w:link w:val="3"/>
    <w:qFormat/>
    <w:locked/>
    <w:uiPriority w:val="99"/>
    <w:rPr>
      <w:rFonts w:ascii="Calibri" w:hAnsi="Calibri" w:eastAsia="仿宋_GB2312" w:cs="Times New Roman"/>
      <w:kern w:val="0"/>
      <w:sz w:val="20"/>
      <w:szCs w:val="20"/>
    </w:rPr>
  </w:style>
  <w:style w:type="character" w:customStyle="1" w:styleId="37">
    <w:name w:val="Intense Reference"/>
    <w:basedOn w:val="26"/>
    <w:qFormat/>
    <w:uiPriority w:val="99"/>
    <w:rPr>
      <w:b/>
      <w:smallCaps/>
      <w:color w:val="C0504D"/>
      <w:spacing w:val="5"/>
      <w:u w:val="single"/>
    </w:rPr>
  </w:style>
  <w:style w:type="character" w:customStyle="1" w:styleId="38">
    <w:name w:val="批注框文本 字符"/>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批注文字 字符"/>
    <w:basedOn w:val="26"/>
    <w:link w:val="11"/>
    <w:semiHidden/>
    <w:qFormat/>
    <w:locked/>
    <w:uiPriority w:val="99"/>
    <w:rPr>
      <w:rFonts w:ascii="Calibri" w:hAnsi="Calibri" w:eastAsia="仿宋_GB2312" w:cs="Times New Roman"/>
      <w:kern w:val="0"/>
      <w:sz w:val="20"/>
      <w:szCs w:val="20"/>
    </w:rPr>
  </w:style>
  <w:style w:type="character" w:customStyle="1" w:styleId="41">
    <w:name w:val="批注主题 字符"/>
    <w:basedOn w:val="40"/>
    <w:link w:val="23"/>
    <w:semiHidden/>
    <w:qFormat/>
    <w:locked/>
    <w:uiPriority w:val="99"/>
    <w:rPr>
      <w:rFonts w:ascii="Calibri" w:hAnsi="Calibri" w:eastAsia="仿宋_GB2312" w:cs="Times New Roman"/>
      <w:b/>
      <w:bCs/>
      <w:kern w:val="0"/>
      <w:sz w:val="20"/>
      <w:szCs w:val="20"/>
    </w:rPr>
  </w:style>
  <w:style w:type="character" w:customStyle="1" w:styleId="42">
    <w:name w:val="文档结构图 字符"/>
    <w:basedOn w:val="26"/>
    <w:link w:val="10"/>
    <w:semiHidden/>
    <w:qFormat/>
    <w:locked/>
    <w:uiPriority w:val="99"/>
    <w:rPr>
      <w:rFonts w:ascii="宋体" w:hAnsi="Calibri" w:eastAsia="宋体" w:cs="Times New Roman"/>
      <w:kern w:val="0"/>
      <w:sz w:val="18"/>
      <w:szCs w:val="18"/>
    </w:rPr>
  </w:style>
  <w:style w:type="character" w:customStyle="1" w:styleId="43">
    <w:name w:val="无间隔 字符"/>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604</Words>
  <Characters>3448</Characters>
  <Lines>28</Lines>
  <Paragraphs>8</Paragraphs>
  <TotalTime>60</TotalTime>
  <ScaleCrop>false</ScaleCrop>
  <LinksUpToDate>false</LinksUpToDate>
  <CharactersWithSpaces>4044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2022-03-24T14:31:00Z</dcterms:created>
  <dc:creator>qq</dc:creator>
  <cp:lastModifiedBy>kylin</cp:lastModifiedBy>
  <dcterms:modified xsi:type="dcterms:W3CDTF">2025-02-14T09:40:51Z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