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before="120" w:after="120" w:line="480" w:lineRule="auto"/>
        <w:ind w:firstLine="0" w:firstLineChars="0"/>
        <w:jc w:val="center"/>
        <w:outlineLvl w:val="0"/>
        <w:rPr>
          <w:rFonts w:ascii="仿宋_GB2312" w:hAnsi="Arial"/>
          <w:b/>
          <w:sz w:val="44"/>
          <w:szCs w:val="44"/>
        </w:rPr>
      </w:pPr>
      <w:r>
        <w:rPr>
          <w:rFonts w:hint="eastAsia" w:ascii="仿宋_GB2312" w:hAnsi="Arial"/>
          <w:b/>
          <w:sz w:val="44"/>
          <w:szCs w:val="44"/>
        </w:rPr>
        <w:t>财政项目支出绩效自评报告</w:t>
      </w: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0"/>
          <w:szCs w:val="30"/>
        </w:rPr>
      </w:pPr>
    </w:p>
    <w:p>
      <w:pPr>
        <w:spacing w:line="480" w:lineRule="auto"/>
        <w:ind w:left="1680" w:firstLine="420" w:firstLineChars="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项目名称：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2020年度目标责任考核奖励资金</w:t>
      </w:r>
    </w:p>
    <w:p>
      <w:pPr>
        <w:spacing w:line="480" w:lineRule="auto"/>
        <w:ind w:left="1680" w:firstLine="420" w:firstLineChars="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项目单位：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襄汾县行政审批服务管理局</w:t>
      </w:r>
    </w:p>
    <w:p>
      <w:pPr>
        <w:spacing w:line="480" w:lineRule="auto"/>
        <w:ind w:left="1680" w:firstLine="420" w:firstLineChars="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主管部门：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襄汾县行政审批服务管理局-126001</w:t>
      </w: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ascii="仿宋_GB2312" w:hAnsi="Times New Roman" w:cs="Times New Roman"/>
          <w:kern w:val="0"/>
          <w:sz w:val="32"/>
          <w:szCs w:val="32"/>
        </w:rPr>
        <w:t>2022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年</w:t>
      </w:r>
      <w:r>
        <w:rPr>
          <w:rFonts w:ascii="仿宋_GB2312" w:hAnsi="Times New Roman" w:cs="Times New Roman"/>
          <w:kern w:val="0"/>
          <w:sz w:val="32"/>
          <w:szCs w:val="32"/>
        </w:rPr>
        <w:t>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月</w:t>
      </w:r>
    </w:p>
    <w:p>
      <w:pPr>
        <w:pStyle w:val="18"/>
        <w:tabs>
          <w:tab w:val="right" w:leader="dot" w:pos="8296"/>
        </w:tabs>
        <w:ind w:firstLine="440" w:firstLineChars="137"/>
      </w:pPr>
      <w:r>
        <w:rPr>
          <w:rFonts w:ascii="仿宋_GB2312" w:hAnsi="Times New Roman" w:cs="Times New Roman"/>
          <w:kern w:val="0"/>
          <w:sz w:val="32"/>
          <w:szCs w:val="32"/>
        </w:rPr>
        <w:br w:type="page"/>
      </w:r>
      <w:r>
        <w:rPr>
          <w:szCs w:val="44"/>
        </w:rPr>
        <w:fldChar w:fldCharType="begin"/>
      </w:r>
      <w:r>
        <w:rPr>
          <w:szCs w:val="44"/>
        </w:rPr>
        <w:instrText xml:space="preserve"> TOC \o "1-4" \f </w:instrText>
      </w:r>
      <w:r>
        <w:rPr>
          <w:szCs w:val="44"/>
        </w:rPr>
        <w:fldChar w:fldCharType="separate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一、项目的基本情况</w:t>
      </w:r>
      <w:r>
        <w:tab/>
      </w:r>
      <w:r>
        <w:fldChar w:fldCharType="begin"/>
      </w:r>
      <w:r>
        <w:instrText xml:space="preserve"> PAGEREF _Toc61505636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（一）项目概况</w:t>
      </w:r>
      <w:r>
        <w:tab/>
      </w:r>
      <w:r>
        <w:fldChar w:fldCharType="begin"/>
      </w:r>
      <w:r>
        <w:instrText xml:space="preserve"> PAGEREF _Toc61505637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（二）预算执行情况</w:t>
      </w:r>
      <w:r>
        <w:tab/>
      </w:r>
      <w:r>
        <w:fldChar w:fldCharType="begin"/>
      </w:r>
      <w:r>
        <w:instrText xml:space="preserve"> PAGEREF _Toc61505638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（三）项目绩效目标</w:t>
      </w:r>
      <w:r>
        <w:tab/>
      </w:r>
      <w:r>
        <w:fldChar w:fldCharType="begin"/>
      </w:r>
      <w:r>
        <w:instrText xml:space="preserve"> PAGEREF _Toc61505639 \h </w:instrText>
      </w:r>
      <w:r>
        <w:fldChar w:fldCharType="separate"/>
      </w:r>
      <w:r>
        <w:t>4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（四）项目实施计划</w:t>
      </w:r>
      <w:r>
        <w:tab/>
      </w:r>
      <w:r>
        <w:fldChar w:fldCharType="begin"/>
      </w:r>
      <w:r>
        <w:instrText xml:space="preserve"> PAGEREF _Toc61505640 \h </w:instrText>
      </w:r>
      <w:r>
        <w:fldChar w:fldCharType="separate"/>
      </w:r>
      <w:r>
        <w:t>4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二、项目绩效情况</w:t>
      </w:r>
      <w:r>
        <w:tab/>
      </w:r>
      <w:r>
        <w:fldChar w:fldCharType="begin"/>
      </w:r>
      <w:r>
        <w:instrText xml:space="preserve"> PAGEREF _Toc61505641 \h </w:instrText>
      </w:r>
      <w:r>
        <w:fldChar w:fldCharType="separate"/>
      </w:r>
      <w:r>
        <w:t>4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（一）预算执行情况</w:t>
      </w:r>
      <w:r>
        <w:tab/>
      </w:r>
      <w:r>
        <w:fldChar w:fldCharType="begin"/>
      </w:r>
      <w:r>
        <w:instrText xml:space="preserve"> PAGEREF _Toc61505642 \h </w:instrText>
      </w:r>
      <w:r>
        <w:fldChar w:fldCharType="separate"/>
      </w:r>
      <w:r>
        <w:t>5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（二）项目产出情况</w:t>
      </w:r>
      <w:r>
        <w:tab/>
      </w:r>
      <w:r>
        <w:fldChar w:fldCharType="begin"/>
      </w:r>
      <w:r>
        <w:instrText xml:space="preserve"> PAGEREF _Toc61505643 \h </w:instrText>
      </w:r>
      <w:r>
        <w:fldChar w:fldCharType="separate"/>
      </w:r>
      <w:r>
        <w:t>6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（三）项目效益情况</w:t>
      </w:r>
      <w:r>
        <w:tab/>
      </w:r>
      <w:r>
        <w:fldChar w:fldCharType="begin"/>
      </w:r>
      <w:r>
        <w:instrText xml:space="preserve"> PAGEREF _Toc61505644 \h </w:instrText>
      </w:r>
      <w:r>
        <w:fldChar w:fldCharType="separate"/>
      </w:r>
      <w:r>
        <w:t>6</w:t>
      </w:r>
      <w:r>
        <w:fldChar w:fldCharType="end"/>
      </w:r>
    </w:p>
    <w:p>
      <w:pPr>
        <w:pStyle w:val="21"/>
        <w:tabs>
          <w:tab w:val="right" w:leader="dot" w:pos="8296"/>
        </w:tabs>
        <w:ind w:firstLine="400"/>
        <w:rPr>
          <w:rFonts w:ascii="等线" w:hAnsi="等线" w:eastAsia="等线" w:cs="Times New Roman"/>
          <w:smallCaps w:val="0"/>
          <w:sz w:val="21"/>
          <w:szCs w:val="22"/>
        </w:rPr>
      </w:pPr>
      <w:r>
        <w:rPr>
          <w:rFonts w:hint="eastAsia"/>
        </w:rPr>
        <w:t>（四）项目满意度情况</w:t>
      </w:r>
      <w:r>
        <w:tab/>
      </w:r>
      <w:r>
        <w:fldChar w:fldCharType="begin"/>
      </w:r>
      <w:r>
        <w:instrText xml:space="preserve"> PAGEREF _Toc61505645 \h </w:instrText>
      </w:r>
      <w:r>
        <w:fldChar w:fldCharType="separate"/>
      </w:r>
      <w:r>
        <w:t>7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三、项目绩效分析</w:t>
      </w:r>
      <w:r>
        <w:tab/>
      </w:r>
      <w:r>
        <w:fldChar w:fldCharType="begin"/>
      </w:r>
      <w:r>
        <w:instrText xml:space="preserve"> PAGEREF _Toc61505646 \h </w:instrText>
      </w:r>
      <w:r>
        <w:fldChar w:fldCharType="separate"/>
      </w:r>
      <w:r>
        <w:t>7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四、项目主要经验做法</w:t>
      </w:r>
      <w:r>
        <w:tab/>
      </w:r>
      <w:r>
        <w:fldChar w:fldCharType="begin"/>
      </w:r>
      <w:r>
        <w:instrText xml:space="preserve"> PAGEREF _Toc61505647 \h </w:instrText>
      </w:r>
      <w:r>
        <w:fldChar w:fldCharType="separate"/>
      </w:r>
      <w:r>
        <w:t>8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五、项目管理中存在问题及原因分析</w:t>
      </w:r>
      <w:r>
        <w:tab/>
      </w:r>
      <w:r>
        <w:fldChar w:fldCharType="begin"/>
      </w:r>
      <w:r>
        <w:instrText xml:space="preserve"> PAGEREF _Toc61505648 \h </w:instrText>
      </w:r>
      <w:r>
        <w:fldChar w:fldCharType="separate"/>
      </w:r>
      <w:r>
        <w:t>8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六、进一步加强项目管理措施及建议</w:t>
      </w:r>
      <w:r>
        <w:tab/>
      </w:r>
      <w:r>
        <w:fldChar w:fldCharType="begin"/>
      </w:r>
      <w:r>
        <w:instrText xml:space="preserve"> PAGEREF _Toc61505649 \h </w:instrText>
      </w:r>
      <w:r>
        <w:fldChar w:fldCharType="separate"/>
      </w:r>
      <w:r>
        <w:t>8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附件</w:t>
      </w:r>
      <w:r>
        <w:rPr>
          <w:rFonts w:ascii="仿宋" w:hAnsi="仿宋" w:eastAsia="仿宋" w:cs="仿宋"/>
          <w:bCs w:val="0"/>
        </w:rPr>
        <w:t>1.</w:t>
      </w:r>
      <w:r>
        <w:rPr>
          <w:rFonts w:hint="eastAsia" w:ascii="仿宋" w:hAnsi="仿宋" w:eastAsia="仿宋" w:cs="仿宋"/>
          <w:bCs w:val="0"/>
        </w:rPr>
        <w:t>项目支出绩效自评表</w:t>
      </w:r>
      <w:r>
        <w:tab/>
      </w:r>
      <w:r>
        <w:fldChar w:fldCharType="begin"/>
      </w:r>
      <w:r>
        <w:instrText xml:space="preserve"> PAGEREF _Toc61505650 \h </w:instrText>
      </w:r>
      <w:r>
        <w:fldChar w:fldCharType="separate"/>
      </w:r>
      <w:r>
        <w:t>10</w:t>
      </w:r>
      <w:r>
        <w:fldChar w:fldCharType="end"/>
      </w:r>
    </w:p>
    <w:p>
      <w:pPr>
        <w:pStyle w:val="18"/>
        <w:tabs>
          <w:tab w:val="right" w:leader="dot" w:pos="8296"/>
        </w:tabs>
        <w:ind w:firstLine="402"/>
        <w:rPr>
          <w:rFonts w:ascii="等线" w:hAnsi="等线" w:eastAsia="等线" w:cs="Times New Roman"/>
          <w:b w:val="0"/>
          <w:bCs w:val="0"/>
          <w:caps w:val="0"/>
          <w:sz w:val="21"/>
          <w:szCs w:val="22"/>
        </w:rPr>
      </w:pPr>
      <w:r>
        <w:rPr>
          <w:rFonts w:hint="eastAsia" w:ascii="仿宋" w:hAnsi="仿宋" w:eastAsia="仿宋" w:cs="仿宋"/>
          <w:bCs w:val="0"/>
        </w:rPr>
        <w:t>附件</w:t>
      </w:r>
      <w:r>
        <w:rPr>
          <w:rFonts w:ascii="仿宋" w:hAnsi="仿宋" w:eastAsia="仿宋" w:cs="仿宋"/>
          <w:bCs w:val="0"/>
        </w:rPr>
        <w:t>2.</w:t>
      </w:r>
      <w:r>
        <w:rPr>
          <w:rFonts w:hint="eastAsia" w:ascii="仿宋" w:hAnsi="仿宋" w:eastAsia="仿宋" w:cs="仿宋"/>
          <w:bCs w:val="0"/>
        </w:rPr>
        <w:t>绩效自评相关资料</w:t>
      </w:r>
      <w:r>
        <w:tab/>
      </w:r>
      <w:r>
        <w:fldChar w:fldCharType="begin"/>
      </w:r>
      <w:r>
        <w:instrText xml:space="preserve"> PAGEREF _Toc61505651 \h </w:instrText>
      </w:r>
      <w:r>
        <w:fldChar w:fldCharType="separate"/>
      </w:r>
      <w:r>
        <w:t>11</w:t>
      </w:r>
      <w:r>
        <w:fldChar w:fldCharType="end"/>
      </w:r>
    </w:p>
    <w:p>
      <w:pPr>
        <w:tabs>
          <w:tab w:val="left" w:pos="620"/>
        </w:tabs>
        <w:ind w:firstLine="0" w:firstLineChars="0"/>
        <w:rPr>
          <w:szCs w:val="44"/>
        </w:rPr>
      </w:pPr>
      <w:r>
        <w:rPr>
          <w:szCs w:val="44"/>
        </w:rPr>
        <w:fldChar w:fldCharType="end"/>
      </w:r>
      <w:r>
        <w:rPr>
          <w:szCs w:val="44"/>
        </w:rPr>
        <w:tab/>
      </w: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0" w:name="_Toc61505636"/>
      <w:r>
        <w:rPr>
          <w:rFonts w:hint="eastAsia" w:ascii="仿宋" w:hAnsi="仿宋" w:eastAsia="仿宋" w:cs="仿宋"/>
          <w:b/>
          <w:bCs w:val="0"/>
        </w:rPr>
        <w:t>一、项目的基本情况</w:t>
      </w:r>
      <w:bookmarkEnd w:id="0"/>
    </w:p>
    <w:p>
      <w:pPr>
        <w:pStyle w:val="46"/>
        <w:ind w:left="560"/>
      </w:pPr>
      <w:bookmarkStart w:id="1" w:name="_Toc61505637"/>
      <w:r>
        <w:rPr>
          <w:rFonts w:hint="eastAsia"/>
        </w:rPr>
        <w:t>（一）项目概况</w:t>
      </w:r>
      <w:bookmarkEnd w:id="1"/>
    </w:p>
    <w:p>
      <w:pPr>
        <w:pStyle w:val="44"/>
        <w:ind w:left="280" w:firstLine="562"/>
      </w:pPr>
      <w:r>
        <w:rPr>
          <w:rFonts w:hint="eastAsia"/>
          <w:b/>
          <w:bCs/>
        </w:rPr>
        <w:t>项目概况：</w:t>
      </w:r>
      <w:r>
        <w:t>发放2020年度目标责任考核奖励资金。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立项依据：</w:t>
      </w:r>
      <w:r>
        <w:t>根据《关于各县2020年度目标责任考核奖金发放办法的意见》制定发放方案。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设立的必要性：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保证项目实施的措施与制度：</w:t>
      </w:r>
      <w:r>
        <w:t>根据《关于各县2020年度目标责任考核奖金发放办法的意见》制定发放方案。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项目实施计划：</w:t>
      </w:r>
      <w:r>
        <w:t>根据《关于各县2020年度目标责任考核奖金发放办法的意见》制定发放方案。</w:t>
      </w:r>
    </w:p>
    <w:p>
      <w:pPr>
        <w:widowControl/>
        <w:ind w:firstLine="0" w:firstLineChars="0"/>
        <w:jc w:val="left"/>
        <w:rPr>
          <w:rFonts w:ascii="Times New Roman" w:hAnsi="Times New Roman" w:cs="Times New Roman"/>
          <w:kern w:val="0"/>
          <w:szCs w:val="28"/>
        </w:rPr>
      </w:pPr>
      <w:r>
        <w:br w:type="page"/>
      </w:r>
    </w:p>
    <w:p>
      <w:pPr>
        <w:pStyle w:val="46"/>
        <w:ind w:left="560"/>
      </w:pPr>
      <w:bookmarkStart w:id="2" w:name="_Toc61505638"/>
      <w:r>
        <w:rPr>
          <w:rFonts w:hint="eastAsia"/>
        </w:rPr>
        <w:t>（二）预算执行情况</w:t>
      </w:r>
      <w:bookmarkEnd w:id="2"/>
    </w:p>
    <w:p>
      <w:pPr>
        <w:ind w:firstLine="0" w:firstLineChars="0"/>
        <w:jc w:val="left"/>
        <w:rPr>
          <w:b/>
          <w:szCs w:val="28"/>
        </w:rPr>
      </w:pPr>
    </w:p>
    <w:tbl>
      <w:tblPr>
        <w:tblStyle w:val="24"/>
        <w:tblW w:w="13972" w:type="dxa"/>
        <w:tblInd w:w="172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59"/>
        <w:gridCol w:w="1276"/>
        <w:gridCol w:w="1356"/>
        <w:gridCol w:w="1337"/>
        <w:gridCol w:w="851"/>
        <w:gridCol w:w="850"/>
        <w:gridCol w:w="851"/>
        <w:gridCol w:w="930"/>
        <w:gridCol w:w="2410"/>
        <w:gridCol w:w="2552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59" w:hRule="atLeast"/>
        </w:trPr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项目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行次</w:t>
            </w:r>
          </w:p>
        </w:tc>
        <w:tc>
          <w:tcPr>
            <w:tcW w:w="1356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年度总金额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(</w:t>
            </w: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万元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)</w:t>
            </w:r>
          </w:p>
        </w:tc>
        <w:tc>
          <w:tcPr>
            <w:tcW w:w="4819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财政资金</w:t>
            </w:r>
          </w:p>
        </w:tc>
        <w:tc>
          <w:tcPr>
            <w:tcW w:w="2410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上年结转资金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2552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其他资金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67" w:hRule="atLeast"/>
        </w:trPr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小计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中央级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省级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市级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县区级</w:t>
            </w:r>
          </w:p>
        </w:tc>
        <w:tc>
          <w:tcPr>
            <w:tcW w:w="2410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年初预算资金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(1)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实际到位资金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(3)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全年执行资金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0.6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资金结余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(5)=(3)-(4)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预算到位率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(6)=(3)/(2)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预算执行率(%)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(7)=(4)/(2)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</w:tbl>
    <w:p>
      <w:pPr>
        <w:pStyle w:val="46"/>
        <w:ind w:left="560"/>
      </w:pPr>
      <w:bookmarkStart w:id="3" w:name="_Toc61505639"/>
      <w:r>
        <w:rPr>
          <w:rFonts w:hint="eastAsia"/>
        </w:rPr>
        <w:t>（三）项目绩效目标</w:t>
      </w:r>
      <w:bookmarkEnd w:id="3"/>
    </w:p>
    <w:p>
      <w:pPr>
        <w:pStyle w:val="48"/>
        <w:ind w:left="560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项目实施期绩效目标</w:t>
      </w:r>
    </w:p>
    <w:p>
      <w:pPr>
        <w:pStyle w:val="44"/>
        <w:ind w:left="280" w:firstLine="560"/>
      </w:pPr>
      <w:r>
        <w:t>发放2020年度目标责任考核奖励资金。</w:t>
      </w:r>
    </w:p>
    <w:p>
      <w:pPr>
        <w:pStyle w:val="44"/>
        <w:ind w:left="280" w:firstLine="560"/>
      </w:pPr>
      <w:r>
        <w:tab/>
      </w:r>
    </w:p>
    <w:p>
      <w:pPr>
        <w:pStyle w:val="48"/>
        <w:ind w:left="560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项目年度目标</w:t>
      </w:r>
    </w:p>
    <w:p>
      <w:pPr>
        <w:pStyle w:val="44"/>
        <w:ind w:left="280" w:firstLine="560"/>
      </w:pPr>
      <w:r>
        <w:t>发放2020年度目标责任考核奖励资金。</w:t>
      </w:r>
    </w:p>
    <w:p>
      <w:pPr>
        <w:pStyle w:val="44"/>
        <w:ind w:firstLine="560"/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4" w:name="_Toc61505641"/>
      <w:r>
        <w:rPr>
          <w:rFonts w:hint="eastAsia" w:ascii="仿宋" w:hAnsi="仿宋" w:eastAsia="仿宋" w:cs="仿宋"/>
          <w:b/>
          <w:bCs w:val="0"/>
        </w:rPr>
        <w:t>二、项目绩效情况</w:t>
      </w:r>
      <w:bookmarkEnd w:id="4"/>
    </w:p>
    <w:p>
      <w:pPr>
        <w:pStyle w:val="44"/>
        <w:ind w:left="140" w:leftChars="50" w:firstLine="560"/>
      </w:pPr>
      <w:r>
        <w:rPr>
          <w:rFonts w:hint="eastAsia"/>
        </w:rPr>
        <w:t>综合考虑预算执行情况、产出、效益、服务对象满意度各方面因素，通过数据采集及分析，最终评分结果：</w:t>
      </w:r>
      <w:r>
        <w:t>2020年度目标责任考核奖励资金</w:t>
      </w:r>
      <w:r>
        <w:rPr>
          <w:rFonts w:hint="eastAsia"/>
        </w:rPr>
        <w:t>项目绩效自评价结果为</w:t>
      </w:r>
      <w:r>
        <w:t>:</w:t>
      </w:r>
      <w:r>
        <w:rPr>
          <w:rFonts w:hint="eastAsia"/>
        </w:rPr>
        <w:t>总得分</w:t>
      </w:r>
      <w:r>
        <w:t>100</w:t>
      </w:r>
      <w:r>
        <w:rPr>
          <w:rFonts w:hint="eastAsia"/>
        </w:rPr>
        <w:t>分，属于</w:t>
      </w:r>
      <w:r>
        <w:t>"优秀"</w:t>
      </w:r>
      <w:r>
        <w:rPr>
          <w:rFonts w:hint="eastAsia"/>
        </w:rPr>
        <w:t>。</w:t>
      </w:r>
    </w:p>
    <w:p>
      <w:pPr>
        <w:pStyle w:val="46"/>
        <w:ind w:left="560"/>
      </w:pPr>
      <w:bookmarkStart w:id="5" w:name="_Toc61505642"/>
      <w:r>
        <w:rPr>
          <w:rFonts w:hint="eastAsia"/>
        </w:rPr>
        <w:t>（一）预算执行情况</w:t>
      </w:r>
      <w:bookmarkEnd w:id="5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2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widowControl/>
        <w:ind w:firstLine="0" w:firstLineChars="0"/>
        <w:jc w:val="left"/>
        <w:rPr>
          <w:szCs w:val="44"/>
        </w:rPr>
      </w:pPr>
      <w:r>
        <w:rPr>
          <w:szCs w:val="44"/>
        </w:rPr>
        <w:br w:type="page"/>
      </w:r>
    </w:p>
    <w:p>
      <w:pPr>
        <w:pStyle w:val="46"/>
        <w:ind w:left="560"/>
      </w:pPr>
      <w:bookmarkStart w:id="6" w:name="_Toc61505643"/>
      <w:r>
        <w:rPr>
          <w:rFonts w:hint="eastAsia"/>
        </w:rPr>
        <w:t>（二）项目产出情况</w:t>
      </w:r>
      <w:bookmarkEnd w:id="6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奖金发放数额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0.60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0.6万元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保障奖金正常发放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奖金发放及时率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pStyle w:val="46"/>
        <w:ind w:left="560"/>
      </w:pPr>
      <w:bookmarkStart w:id="7" w:name="_Toc61505644"/>
      <w:r>
        <w:rPr>
          <w:rFonts w:hint="eastAsia"/>
        </w:rPr>
        <w:t>（三）项目效益情况</w:t>
      </w:r>
      <w:bookmarkEnd w:id="7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保障机关正常运转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widowControl/>
        <w:ind w:firstLine="0" w:firstLineChars="0"/>
        <w:jc w:val="left"/>
        <w:rPr>
          <w:szCs w:val="44"/>
        </w:rPr>
      </w:pPr>
      <w:r>
        <w:rPr>
          <w:szCs w:val="44"/>
        </w:rPr>
        <w:br w:type="page"/>
      </w:r>
    </w:p>
    <w:p>
      <w:pPr>
        <w:ind w:firstLine="0" w:firstLineChars="0"/>
        <w:rPr>
          <w:szCs w:val="44"/>
        </w:rPr>
      </w:pPr>
    </w:p>
    <w:p>
      <w:pPr>
        <w:pStyle w:val="46"/>
        <w:ind w:left="560"/>
      </w:pPr>
      <w:bookmarkStart w:id="8" w:name="_Toc61505645"/>
      <w:r>
        <w:rPr>
          <w:rFonts w:hint="eastAsia"/>
        </w:rPr>
        <w:t>（四）项目满意度情况</w:t>
      </w:r>
      <w:bookmarkEnd w:id="8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2916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widowControl/>
        <w:ind w:firstLine="0" w:firstLineChars="0"/>
        <w:jc w:val="left"/>
        <w:rPr>
          <w:szCs w:val="44"/>
        </w:rPr>
      </w:pPr>
      <w:r>
        <w:rPr>
          <w:szCs w:val="44"/>
        </w:rPr>
        <w:br w:type="page"/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9" w:name="_Toc61505646"/>
      <w:r>
        <w:rPr>
          <w:rFonts w:hint="eastAsia" w:ascii="仿宋" w:hAnsi="仿宋" w:eastAsia="仿宋" w:cs="仿宋"/>
          <w:b/>
          <w:bCs w:val="0"/>
        </w:rPr>
        <w:t>三、</w:t>
      </w:r>
      <w:bookmarkStart w:id="10" w:name="_Toc17451"/>
      <w:bookmarkStart w:id="11" w:name="_Toc23655"/>
      <w:r>
        <w:rPr>
          <w:rFonts w:hint="eastAsia" w:ascii="仿宋" w:hAnsi="仿宋" w:eastAsia="仿宋" w:cs="仿宋"/>
          <w:b/>
          <w:bCs w:val="0"/>
        </w:rPr>
        <w:t>项目绩效分析</w:t>
      </w:r>
      <w:bookmarkEnd w:id="9"/>
      <w:bookmarkEnd w:id="10"/>
      <w:bookmarkEnd w:id="11"/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项目实施和预算执行情况及分析</w:t>
      </w:r>
    </w:p>
    <w:p>
      <w:pPr>
        <w:pStyle w:val="44"/>
        <w:rPr>
          <w:rFonts w:hint="default" w:ascii="仿宋_GB2312" w:eastAsia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预算执行情况为100%，按照实际情况正常支出。</w:t>
      </w:r>
    </w:p>
    <w:p>
      <w:pPr>
        <w:pStyle w:val="44"/>
        <w:ind w:left="700" w:leftChars="250" w:firstLine="0" w:firstLineChars="0"/>
        <w:rPr>
          <w:rFonts w:ascii="仿宋_GB2312"/>
          <w:bCs/>
        </w:rPr>
      </w:pP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产出情况及分析</w:t>
      </w:r>
    </w:p>
    <w:p>
      <w:pPr>
        <w:pStyle w:val="44"/>
        <w:rPr>
          <w:rFonts w:hint="default" w:ascii="仿宋_GB2312" w:eastAsia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奖金发放数额为0.6万元，保障奖金正常发放，奖金发放及时。</w:t>
      </w:r>
    </w:p>
    <w:p>
      <w:pPr>
        <w:pStyle w:val="44"/>
        <w:ind w:left="1134" w:leftChars="405" w:firstLine="0" w:firstLineChars="0"/>
        <w:rPr>
          <w:rFonts w:ascii="仿宋_GB2312"/>
          <w:bCs/>
        </w:rPr>
      </w:pP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效益情况及分析</w:t>
      </w:r>
    </w:p>
    <w:p>
      <w:pPr>
        <w:pStyle w:val="44"/>
        <w:rPr>
          <w:rFonts w:hint="default" w:ascii="仿宋_GB2312" w:eastAsia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保障机关正常运转。</w:t>
      </w:r>
    </w:p>
    <w:p>
      <w:pPr>
        <w:pStyle w:val="44"/>
        <w:ind w:left="1134" w:leftChars="405" w:firstLine="0" w:firstLineChars="0"/>
        <w:rPr>
          <w:rFonts w:ascii="仿宋_GB2312"/>
          <w:bCs/>
        </w:rPr>
      </w:pP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满意度情况及分析</w:t>
      </w:r>
    </w:p>
    <w:p>
      <w:pPr>
        <w:pStyle w:val="44"/>
        <w:rPr>
          <w:rFonts w:hint="default" w:ascii="仿宋_GB2312" w:eastAsia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服务对象满意度为100%</w:t>
      </w:r>
    </w:p>
    <w:p>
      <w:pPr>
        <w:pStyle w:val="52"/>
      </w:pPr>
      <w:bookmarkStart w:id="12" w:name="_Toc61505647"/>
      <w:r>
        <w:rPr>
          <w:rFonts w:hint="eastAsia" w:ascii="仿宋" w:hAnsi="仿宋" w:eastAsia="仿宋" w:cs="仿宋"/>
          <w:b/>
          <w:bCs w:val="0"/>
        </w:rPr>
        <w:t>四、项目主要经验做法</w:t>
      </w:r>
      <w:bookmarkEnd w:id="12"/>
      <w:r>
        <w:t xml:space="preserve"> </w:t>
      </w:r>
    </w:p>
    <w:p>
      <w:pPr>
        <w:pStyle w:val="44"/>
        <w:ind w:firstLine="840" w:firstLineChars="300"/>
        <w:rPr>
          <w:rFonts w:hint="eastAsia" w:eastAsia="仿宋_GB2312"/>
          <w:lang w:eastAsia="zh-CN"/>
        </w:rPr>
      </w:pPr>
      <w:r>
        <w:rPr>
          <w:rFonts w:hint="eastAsia"/>
        </w:rPr>
        <w:t>预算一体化系统极大的提高了工作效率和资金使用的透明度</w:t>
      </w:r>
      <w:r>
        <w:rPr>
          <w:rFonts w:hint="eastAsia"/>
          <w:lang w:eastAsia="zh-CN"/>
        </w:rPr>
        <w:t>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3" w:name="_Toc61505648"/>
      <w:r>
        <w:rPr>
          <w:rFonts w:hint="eastAsia" w:ascii="仿宋" w:hAnsi="仿宋" w:eastAsia="仿宋" w:cs="仿宋"/>
          <w:b/>
          <w:bCs w:val="0"/>
        </w:rPr>
        <w:t>五、项目管理中存在问题及原因分析</w:t>
      </w:r>
      <w:bookmarkEnd w:id="13"/>
    </w:p>
    <w:p>
      <w:pPr>
        <w:pStyle w:val="44"/>
        <w:ind w:firstLine="840" w:firstLineChars="300"/>
        <w:rPr>
          <w:rFonts w:hint="eastAsia" w:eastAsia="仿宋_GB2312"/>
          <w:lang w:eastAsia="zh-CN"/>
        </w:rPr>
      </w:pPr>
      <w:r>
        <w:rPr>
          <w:rFonts w:hint="eastAsia"/>
        </w:rPr>
        <w:t>按要求完成了既定目标，无其他问题</w:t>
      </w:r>
      <w:r>
        <w:rPr>
          <w:rFonts w:hint="eastAsia"/>
          <w:lang w:eastAsia="zh-CN"/>
        </w:rPr>
        <w:t>。</w:t>
      </w:r>
    </w:p>
    <w:p>
      <w:pPr>
        <w:pStyle w:val="52"/>
      </w:pPr>
      <w:bookmarkStart w:id="14" w:name="_Toc61505649"/>
      <w:r>
        <w:rPr>
          <w:rFonts w:hint="eastAsia" w:ascii="仿宋" w:hAnsi="仿宋" w:eastAsia="仿宋" w:cs="仿宋"/>
          <w:b/>
          <w:bCs w:val="0"/>
        </w:rPr>
        <w:t>六、进一步加强项目管理措施及建议</w:t>
      </w:r>
      <w:bookmarkEnd w:id="14"/>
      <w:bookmarkStart w:id="18" w:name="_GoBack"/>
      <w:bookmarkEnd w:id="18"/>
    </w:p>
    <w:p>
      <w:pPr>
        <w:pStyle w:val="52"/>
        <w:numPr>
          <w:ilvl w:val="0"/>
          <w:numId w:val="0"/>
        </w:numPr>
        <w:ind w:firstLine="640" w:firstLineChars="200"/>
        <w:rPr>
          <w:b w:val="0"/>
          <w:bCs/>
        </w:rPr>
      </w:pPr>
      <w:bookmarkStart w:id="15" w:name="_Toc24774"/>
      <w:r>
        <w:rPr>
          <w:rFonts w:hint="eastAsia" w:ascii="仿宋" w:hAnsi="仿宋" w:eastAsia="仿宋" w:cs="仿宋"/>
          <w:b w:val="0"/>
          <w:bCs/>
        </w:rPr>
        <w:t>单位应当设立专人对本单位的绩效目标项目进行管理负责。</w:t>
      </w:r>
      <w:bookmarkEnd w:id="15"/>
    </w:p>
    <w:p>
      <w:pPr>
        <w:pStyle w:val="44"/>
        <w:ind w:firstLine="560"/>
        <w:sectPr>
          <w:footerReference r:id="rId9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6" w:name="_Toc61505650"/>
      <w:r>
        <w:rPr>
          <w:rFonts w:hint="eastAsia" w:ascii="仿宋" w:hAnsi="仿宋" w:eastAsia="仿宋" w:cs="仿宋"/>
          <w:b/>
          <w:bCs w:val="0"/>
        </w:rPr>
        <w:t>附件</w:t>
      </w:r>
      <w:r>
        <w:rPr>
          <w:rFonts w:ascii="仿宋" w:hAnsi="仿宋" w:eastAsia="仿宋" w:cs="仿宋"/>
          <w:b/>
          <w:bCs w:val="0"/>
        </w:rPr>
        <w:t>1.</w:t>
      </w:r>
      <w:r>
        <w:rPr>
          <w:rFonts w:hint="eastAsia" w:ascii="仿宋" w:hAnsi="仿宋" w:eastAsia="仿宋" w:cs="仿宋"/>
          <w:b/>
          <w:bCs w:val="0"/>
        </w:rPr>
        <w:t>项目支出绩效自评表</w:t>
      </w:r>
      <w:bookmarkEnd w:id="16"/>
    </w:p>
    <w:p>
      <w:pPr>
        <w:ind w:firstLine="560"/>
      </w:pPr>
    </w:p>
    <w:tbl>
      <w:tblPr>
        <w:tblStyle w:val="24"/>
        <w:tblW w:w="14063" w:type="dxa"/>
        <w:tblInd w:w="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4"/>
        <w:gridCol w:w="1843"/>
        <w:gridCol w:w="1819"/>
        <w:gridCol w:w="840"/>
        <w:gridCol w:w="1188"/>
        <w:gridCol w:w="1487"/>
        <w:gridCol w:w="1328"/>
        <w:gridCol w:w="1276"/>
        <w:gridCol w:w="252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40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</w:rPr>
              <w:t>附件</w:t>
            </w:r>
            <w:r>
              <w:rPr>
                <w:rFonts w:ascii="仿宋" w:hAnsi="仿宋" w:eastAsia="仿宋" w:cs="仿宋"/>
                <w:b/>
              </w:rPr>
              <w:t>1.</w:t>
            </w:r>
            <w:r>
              <w:rPr>
                <w:rFonts w:hint="eastAsia" w:ascii="仿宋" w:hAnsi="仿宋" w:eastAsia="仿宋" w:cs="仿宋"/>
                <w:b/>
              </w:rPr>
              <w:t>项目支出绩效自评表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一级指标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二级指标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目标指标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权重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目标值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业绩值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完成率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指标得分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偏差原因分析及改进措施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产出指标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奖金发放数额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0.60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0.6万元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保障奖金正常发放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奖金发放及时率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效益指标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保障机关正常运转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保障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满意度指标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18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1754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color="auto" w:sz="4" w:space="0"/>
              <w:bottom w:val="single" w:color="000000" w:sz="4" w:space="0"/>
              <w:right w:val="nil"/>
            </w:tcBorders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819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328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2528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hidden/>
        </w:trPr>
        <w:tc>
          <w:tcPr>
            <w:tcW w:w="175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</w:tr>
    </w:tbl>
    <w:p>
      <w:pPr>
        <w:pStyle w:val="44"/>
        <w:ind w:firstLine="560"/>
        <w:sectPr>
          <w:footerReference r:id="rId10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7" w:name="_Toc61505651"/>
      <w:r>
        <w:rPr>
          <w:rFonts w:hint="eastAsia" w:ascii="仿宋" w:hAnsi="仿宋" w:eastAsia="仿宋" w:cs="仿宋"/>
          <w:b/>
          <w:bCs w:val="0"/>
        </w:rPr>
        <w:t>附件</w:t>
      </w:r>
      <w:r>
        <w:rPr>
          <w:rFonts w:ascii="仿宋" w:hAnsi="仿宋" w:eastAsia="仿宋" w:cs="仿宋"/>
          <w:b/>
          <w:bCs w:val="0"/>
        </w:rPr>
        <w:t>2.</w:t>
      </w:r>
      <w:r>
        <w:rPr>
          <w:rFonts w:hint="eastAsia" w:ascii="仿宋" w:hAnsi="仿宋" w:eastAsia="仿宋" w:cs="仿宋"/>
          <w:b/>
          <w:bCs w:val="0"/>
        </w:rPr>
        <w:t>绩效自评相关资料</w:t>
      </w:r>
      <w:bookmarkEnd w:id="17"/>
    </w:p>
    <w:tbl>
      <w:tblPr>
        <w:tblStyle w:val="24"/>
        <w:tblW w:w="1210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100"/>
      </w:tblGrid>
      <w:tr>
        <w:trPr>
          <w:trHeight w:val="375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附件</w:t>
            </w:r>
            <w:r>
              <w:rPr>
                <w:rFonts w:ascii="仿宋" w:hAnsi="仿宋" w:eastAsia="仿宋" w:cs="仿宋"/>
                <w:b/>
                <w:bCs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绩效自评相关资料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7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仿宋" w:hAnsi="仿宋" w:eastAsia="仿宋" w:cs="仿宋"/>
                <w:b/>
                <w:bCs/>
                <w:szCs w:val="28"/>
              </w:rPr>
            </w:pPr>
          </w:p>
        </w:tc>
      </w:tr>
    </w:tbl>
    <w:p>
      <w:pPr>
        <w:ind w:firstLine="0" w:firstLineChars="0"/>
      </w:pPr>
    </w:p>
    <w:sectPr>
      <w:headerReference r:id="rId13" w:type="first"/>
      <w:footerReference r:id="rId16" w:type="first"/>
      <w:headerReference r:id="rId11" w:type="default"/>
      <w:footerReference r:id="rId14" w:type="default"/>
      <w:headerReference r:id="rId12" w:type="even"/>
      <w:footerReference r:id="rId15" w:type="even"/>
      <w:pgSz w:w="16838" w:h="11906" w:orient="landscape"/>
      <w:pgMar w:top="1800" w:right="1440" w:bottom="1800" w:left="1440" w:header="851" w:footer="992" w:gutter="0"/>
      <w:cols w:space="425" w:num="1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7</w:t>
    </w:r>
    <w:r>
      <w:rPr>
        <w:lang w:val="zh-CN"/>
      </w:rPr>
      <w:fldChar w:fldCharType="end"/>
    </w:r>
  </w:p>
  <w:p>
    <w:pPr>
      <w:pStyle w:val="16"/>
      <w:ind w:firstLine="0" w:firstLineChars="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0" w:firstLineChars="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3B53022"/>
    <w:multiLevelType w:val="singleLevel"/>
    <w:tmpl w:val="E3B5302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140"/>
  <w:drawingGridVerticalSpacing w:val="381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7B7"/>
    <w:rsid w:val="000122EB"/>
    <w:rsid w:val="000142C9"/>
    <w:rsid w:val="00027C90"/>
    <w:rsid w:val="000805D6"/>
    <w:rsid w:val="00080DE2"/>
    <w:rsid w:val="0009606F"/>
    <w:rsid w:val="000A2B0D"/>
    <w:rsid w:val="000C6D57"/>
    <w:rsid w:val="000E044C"/>
    <w:rsid w:val="001028E5"/>
    <w:rsid w:val="001507B7"/>
    <w:rsid w:val="00156586"/>
    <w:rsid w:val="00170CA4"/>
    <w:rsid w:val="0017285F"/>
    <w:rsid w:val="001A3CD2"/>
    <w:rsid w:val="001B4120"/>
    <w:rsid w:val="001C06A8"/>
    <w:rsid w:val="002334E5"/>
    <w:rsid w:val="0023374D"/>
    <w:rsid w:val="00233B2D"/>
    <w:rsid w:val="00242DB8"/>
    <w:rsid w:val="00246562"/>
    <w:rsid w:val="002466C7"/>
    <w:rsid w:val="002501B7"/>
    <w:rsid w:val="00251511"/>
    <w:rsid w:val="0025376C"/>
    <w:rsid w:val="002A0567"/>
    <w:rsid w:val="002A3FC6"/>
    <w:rsid w:val="002B43E5"/>
    <w:rsid w:val="002C673A"/>
    <w:rsid w:val="002E433E"/>
    <w:rsid w:val="003022B9"/>
    <w:rsid w:val="00303641"/>
    <w:rsid w:val="003045A6"/>
    <w:rsid w:val="003242E7"/>
    <w:rsid w:val="00325A56"/>
    <w:rsid w:val="00326642"/>
    <w:rsid w:val="003414CE"/>
    <w:rsid w:val="003474F7"/>
    <w:rsid w:val="00357560"/>
    <w:rsid w:val="003A5DD6"/>
    <w:rsid w:val="003A6136"/>
    <w:rsid w:val="003B03AC"/>
    <w:rsid w:val="003C39F2"/>
    <w:rsid w:val="003E0487"/>
    <w:rsid w:val="003E1BB0"/>
    <w:rsid w:val="003E7B75"/>
    <w:rsid w:val="00400D3F"/>
    <w:rsid w:val="00401866"/>
    <w:rsid w:val="00401D6B"/>
    <w:rsid w:val="00405A2B"/>
    <w:rsid w:val="004133EA"/>
    <w:rsid w:val="0042269C"/>
    <w:rsid w:val="00441BCE"/>
    <w:rsid w:val="00452CC6"/>
    <w:rsid w:val="004550E0"/>
    <w:rsid w:val="004551B8"/>
    <w:rsid w:val="00455292"/>
    <w:rsid w:val="00480C40"/>
    <w:rsid w:val="00492C52"/>
    <w:rsid w:val="004979FF"/>
    <w:rsid w:val="004B227E"/>
    <w:rsid w:val="004C6F6A"/>
    <w:rsid w:val="004E0FDB"/>
    <w:rsid w:val="00542BD3"/>
    <w:rsid w:val="00543E44"/>
    <w:rsid w:val="00576C00"/>
    <w:rsid w:val="00593D5E"/>
    <w:rsid w:val="005A080E"/>
    <w:rsid w:val="005A3D0F"/>
    <w:rsid w:val="005B1DE6"/>
    <w:rsid w:val="005B7922"/>
    <w:rsid w:val="005E4265"/>
    <w:rsid w:val="005E7218"/>
    <w:rsid w:val="00614D76"/>
    <w:rsid w:val="006314F7"/>
    <w:rsid w:val="006475F4"/>
    <w:rsid w:val="00651C0F"/>
    <w:rsid w:val="00656B37"/>
    <w:rsid w:val="006570A5"/>
    <w:rsid w:val="00690F0F"/>
    <w:rsid w:val="006A3C55"/>
    <w:rsid w:val="006E330B"/>
    <w:rsid w:val="006F17DD"/>
    <w:rsid w:val="00700951"/>
    <w:rsid w:val="00734FBB"/>
    <w:rsid w:val="00795EE4"/>
    <w:rsid w:val="007A0274"/>
    <w:rsid w:val="007B18A7"/>
    <w:rsid w:val="007B29FC"/>
    <w:rsid w:val="007F5D03"/>
    <w:rsid w:val="00805ED9"/>
    <w:rsid w:val="00843FC2"/>
    <w:rsid w:val="00844C16"/>
    <w:rsid w:val="00850D03"/>
    <w:rsid w:val="00872799"/>
    <w:rsid w:val="0089335B"/>
    <w:rsid w:val="00893ADD"/>
    <w:rsid w:val="008B49C9"/>
    <w:rsid w:val="008B6A5F"/>
    <w:rsid w:val="008C2871"/>
    <w:rsid w:val="008C72AA"/>
    <w:rsid w:val="008F371F"/>
    <w:rsid w:val="00910324"/>
    <w:rsid w:val="00926CFB"/>
    <w:rsid w:val="009520B5"/>
    <w:rsid w:val="0095796F"/>
    <w:rsid w:val="009856DA"/>
    <w:rsid w:val="00996005"/>
    <w:rsid w:val="00A01AD8"/>
    <w:rsid w:val="00A07C62"/>
    <w:rsid w:val="00A10898"/>
    <w:rsid w:val="00A41307"/>
    <w:rsid w:val="00A52539"/>
    <w:rsid w:val="00A56A97"/>
    <w:rsid w:val="00A67F57"/>
    <w:rsid w:val="00A709BA"/>
    <w:rsid w:val="00A7438C"/>
    <w:rsid w:val="00A92A0A"/>
    <w:rsid w:val="00AA568B"/>
    <w:rsid w:val="00AB0F1D"/>
    <w:rsid w:val="00AC2951"/>
    <w:rsid w:val="00AD64A8"/>
    <w:rsid w:val="00B0412B"/>
    <w:rsid w:val="00B21080"/>
    <w:rsid w:val="00B31ECA"/>
    <w:rsid w:val="00B43815"/>
    <w:rsid w:val="00B52EBA"/>
    <w:rsid w:val="00B535AB"/>
    <w:rsid w:val="00B64666"/>
    <w:rsid w:val="00B8092D"/>
    <w:rsid w:val="00B81BE0"/>
    <w:rsid w:val="00B85A2B"/>
    <w:rsid w:val="00B9323C"/>
    <w:rsid w:val="00BC2B39"/>
    <w:rsid w:val="00BC42DD"/>
    <w:rsid w:val="00BD346F"/>
    <w:rsid w:val="00C24C26"/>
    <w:rsid w:val="00C25722"/>
    <w:rsid w:val="00C372D2"/>
    <w:rsid w:val="00C44067"/>
    <w:rsid w:val="00CA22A5"/>
    <w:rsid w:val="00CA34FC"/>
    <w:rsid w:val="00CA50DE"/>
    <w:rsid w:val="00CD128E"/>
    <w:rsid w:val="00CE5BDA"/>
    <w:rsid w:val="00CF39E1"/>
    <w:rsid w:val="00CF51F1"/>
    <w:rsid w:val="00D01733"/>
    <w:rsid w:val="00D71919"/>
    <w:rsid w:val="00D90DEA"/>
    <w:rsid w:val="00D97E83"/>
    <w:rsid w:val="00DC184E"/>
    <w:rsid w:val="00E11E0B"/>
    <w:rsid w:val="00E56E53"/>
    <w:rsid w:val="00E609AE"/>
    <w:rsid w:val="00E750BD"/>
    <w:rsid w:val="00E91A08"/>
    <w:rsid w:val="00E965D1"/>
    <w:rsid w:val="00EB4620"/>
    <w:rsid w:val="00EC43B2"/>
    <w:rsid w:val="00F03519"/>
    <w:rsid w:val="00F03929"/>
    <w:rsid w:val="00F060C7"/>
    <w:rsid w:val="00F068F7"/>
    <w:rsid w:val="00F14561"/>
    <w:rsid w:val="00F25650"/>
    <w:rsid w:val="00F45162"/>
    <w:rsid w:val="00F5304C"/>
    <w:rsid w:val="00F870C6"/>
    <w:rsid w:val="00F92B58"/>
    <w:rsid w:val="00F96480"/>
    <w:rsid w:val="00FD0AF5"/>
    <w:rsid w:val="00FD3022"/>
    <w:rsid w:val="00FD64C8"/>
    <w:rsid w:val="00FE4A15"/>
    <w:rsid w:val="00FF6DAB"/>
    <w:rsid w:val="093B769A"/>
    <w:rsid w:val="316200CE"/>
    <w:rsid w:val="7871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semiHidden="0" w:name="toc 1"/>
    <w:lsdException w:qFormat="1" w:unhideWhenUsed="0" w:uiPriority="99" w:semiHidden="0" w:name="toc 2"/>
    <w:lsdException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qFormat="1" w:unhideWhenUsed="0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qFormat="1" w:unhideWhenUsed="0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9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600" w:firstLineChars="200"/>
      <w:jc w:val="both"/>
    </w:pPr>
    <w:rPr>
      <w:rFonts w:ascii="Calibri" w:hAnsi="Calibri" w:eastAsia="仿宋_GB2312" w:cs="黑体"/>
      <w:kern w:val="2"/>
      <w:sz w:val="28"/>
      <w:szCs w:val="22"/>
      <w:lang w:val="en-US" w:eastAsia="zh-CN" w:bidi="ar-SA"/>
    </w:rPr>
  </w:style>
  <w:style w:type="paragraph" w:styleId="2">
    <w:name w:val="heading 1"/>
    <w:basedOn w:val="1"/>
    <w:next w:val="3"/>
    <w:link w:val="29"/>
    <w:qFormat/>
    <w:uiPriority w:val="99"/>
    <w:pPr>
      <w:keepNext/>
      <w:keepLines/>
      <w:spacing w:before="340" w:after="330" w:line="578" w:lineRule="auto"/>
      <w:jc w:val="left"/>
      <w:outlineLvl w:val="0"/>
    </w:pPr>
    <w:rPr>
      <w:rFonts w:ascii="Times New Roman" w:hAnsi="Times New Roman" w:cs="Times New Roman"/>
      <w:b/>
      <w:bCs/>
      <w:kern w:val="44"/>
      <w:sz w:val="32"/>
      <w:szCs w:val="44"/>
    </w:rPr>
  </w:style>
  <w:style w:type="paragraph" w:styleId="5">
    <w:name w:val="heading 2"/>
    <w:basedOn w:val="1"/>
    <w:next w:val="6"/>
    <w:link w:val="30"/>
    <w:qFormat/>
    <w:uiPriority w:val="99"/>
    <w:pPr>
      <w:keepNext/>
      <w:keepLines/>
      <w:spacing w:before="260" w:after="260" w:line="415" w:lineRule="auto"/>
      <w:ind w:firstLine="200"/>
      <w:jc w:val="left"/>
      <w:outlineLvl w:val="1"/>
    </w:pPr>
    <w:rPr>
      <w:rFonts w:ascii="Cambria" w:hAnsi="Cambria" w:cs="Times New Roman"/>
      <w:b/>
      <w:bCs/>
      <w:kern w:val="0"/>
      <w:sz w:val="30"/>
      <w:szCs w:val="32"/>
    </w:rPr>
  </w:style>
  <w:style w:type="paragraph" w:styleId="7">
    <w:name w:val="heading 3"/>
    <w:basedOn w:val="1"/>
    <w:next w:val="1"/>
    <w:link w:val="31"/>
    <w:qFormat/>
    <w:uiPriority w:val="99"/>
    <w:pPr>
      <w:keepNext/>
      <w:keepLines/>
      <w:spacing w:before="260" w:after="260" w:line="416" w:lineRule="auto"/>
      <w:jc w:val="left"/>
      <w:outlineLvl w:val="2"/>
    </w:pPr>
    <w:rPr>
      <w:rFonts w:cs="Times New Roman"/>
      <w:bCs/>
      <w:kern w:val="0"/>
      <w:szCs w:val="32"/>
    </w:rPr>
  </w:style>
  <w:style w:type="paragraph" w:styleId="8">
    <w:name w:val="heading 4"/>
    <w:basedOn w:val="1"/>
    <w:next w:val="1"/>
    <w:link w:val="32"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eastAsia="宋体" w:cs="Times New Roman"/>
      <w:b/>
      <w:bCs/>
      <w:kern w:val="0"/>
      <w:szCs w:val="28"/>
    </w:rPr>
  </w:style>
  <w:style w:type="character" w:default="1" w:styleId="26">
    <w:name w:val="Default Paragraph Font"/>
    <w:semiHidden/>
    <w:qFormat/>
    <w:uiPriority w:val="99"/>
  </w:style>
  <w:style w:type="table" w:default="1" w:styleId="2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First Indent 2"/>
    <w:basedOn w:val="4"/>
    <w:link w:val="36"/>
    <w:qFormat/>
    <w:uiPriority w:val="99"/>
    <w:pPr>
      <w:ind w:firstLine="420"/>
    </w:pPr>
  </w:style>
  <w:style w:type="paragraph" w:styleId="4">
    <w:name w:val="Body Text Indent"/>
    <w:basedOn w:val="1"/>
    <w:link w:val="35"/>
    <w:semiHidden/>
    <w:qFormat/>
    <w:uiPriority w:val="99"/>
    <w:pPr>
      <w:spacing w:after="120"/>
      <w:ind w:left="420" w:leftChars="200"/>
    </w:pPr>
    <w:rPr>
      <w:rFonts w:cs="Times New Roman"/>
      <w:kern w:val="0"/>
      <w:szCs w:val="20"/>
    </w:rPr>
  </w:style>
  <w:style w:type="paragraph" w:styleId="6">
    <w:name w:val="No Spacing"/>
    <w:link w:val="43"/>
    <w:qFormat/>
    <w:uiPriority w:val="99"/>
    <w:pPr>
      <w:widowControl w:val="0"/>
      <w:ind w:firstLine="600" w:firstLineChars="200"/>
      <w:jc w:val="both"/>
    </w:pPr>
    <w:rPr>
      <w:rFonts w:ascii="Calibri" w:hAnsi="Calibri" w:eastAsia="仿宋_GB2312" w:cs="Times New Roman"/>
      <w:kern w:val="0"/>
      <w:sz w:val="28"/>
      <w:szCs w:val="22"/>
      <w:lang w:val="en-US" w:eastAsia="zh-CN" w:bidi="ar-SA"/>
    </w:rPr>
  </w:style>
  <w:style w:type="paragraph" w:styleId="9">
    <w:name w:val="toc 7"/>
    <w:basedOn w:val="1"/>
    <w:next w:val="1"/>
    <w:qFormat/>
    <w:uiPriority w:val="99"/>
    <w:pPr>
      <w:ind w:left="1680"/>
      <w:jc w:val="left"/>
    </w:pPr>
    <w:rPr>
      <w:rFonts w:cs="Calibri"/>
      <w:sz w:val="18"/>
      <w:szCs w:val="18"/>
    </w:rPr>
  </w:style>
  <w:style w:type="paragraph" w:styleId="10">
    <w:name w:val="Document Map"/>
    <w:basedOn w:val="1"/>
    <w:link w:val="42"/>
    <w:semiHidden/>
    <w:qFormat/>
    <w:uiPriority w:val="99"/>
    <w:rPr>
      <w:rFonts w:ascii="宋体" w:eastAsia="宋体" w:cs="Times New Roman"/>
      <w:kern w:val="0"/>
      <w:sz w:val="18"/>
      <w:szCs w:val="18"/>
    </w:rPr>
  </w:style>
  <w:style w:type="paragraph" w:styleId="11">
    <w:name w:val="annotation text"/>
    <w:basedOn w:val="1"/>
    <w:link w:val="40"/>
    <w:semiHidden/>
    <w:qFormat/>
    <w:uiPriority w:val="99"/>
    <w:rPr>
      <w:rFonts w:cs="Times New Roman"/>
      <w:kern w:val="0"/>
      <w:sz w:val="20"/>
      <w:szCs w:val="20"/>
    </w:rPr>
  </w:style>
  <w:style w:type="paragraph" w:styleId="12">
    <w:name w:val="toc 5"/>
    <w:basedOn w:val="1"/>
    <w:next w:val="1"/>
    <w:qFormat/>
    <w:uiPriority w:val="99"/>
    <w:pPr>
      <w:ind w:left="1120"/>
      <w:jc w:val="left"/>
    </w:pPr>
    <w:rPr>
      <w:rFonts w:cs="Calibri"/>
      <w:sz w:val="18"/>
      <w:szCs w:val="18"/>
    </w:rPr>
  </w:style>
  <w:style w:type="paragraph" w:styleId="13">
    <w:name w:val="toc 3"/>
    <w:basedOn w:val="1"/>
    <w:next w:val="1"/>
    <w:uiPriority w:val="99"/>
    <w:pPr>
      <w:ind w:left="560"/>
      <w:jc w:val="left"/>
    </w:pPr>
    <w:rPr>
      <w:rFonts w:cs="Calibri"/>
      <w:i/>
      <w:iCs/>
      <w:sz w:val="20"/>
      <w:szCs w:val="20"/>
    </w:rPr>
  </w:style>
  <w:style w:type="paragraph" w:styleId="14">
    <w:name w:val="toc 8"/>
    <w:basedOn w:val="1"/>
    <w:next w:val="1"/>
    <w:qFormat/>
    <w:uiPriority w:val="99"/>
    <w:pPr>
      <w:ind w:left="1960"/>
      <w:jc w:val="left"/>
    </w:pPr>
    <w:rPr>
      <w:rFonts w:cs="Calibri"/>
      <w:sz w:val="18"/>
      <w:szCs w:val="18"/>
    </w:rPr>
  </w:style>
  <w:style w:type="paragraph" w:styleId="15">
    <w:name w:val="Balloon Text"/>
    <w:basedOn w:val="1"/>
    <w:link w:val="38"/>
    <w:semiHidden/>
    <w:qFormat/>
    <w:uiPriority w:val="99"/>
    <w:rPr>
      <w:rFonts w:cs="Times New Roman"/>
      <w:kern w:val="0"/>
      <w:sz w:val="18"/>
      <w:szCs w:val="18"/>
    </w:rPr>
  </w:style>
  <w:style w:type="paragraph" w:styleId="16">
    <w:name w:val="footer"/>
    <w:basedOn w:val="1"/>
    <w:link w:val="3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3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qFormat/>
    <w:uiPriority w:val="99"/>
    <w:pPr>
      <w:spacing w:before="120" w:after="120"/>
      <w:jc w:val="left"/>
    </w:pPr>
    <w:rPr>
      <w:rFonts w:cs="Calibri"/>
      <w:b/>
      <w:bCs/>
      <w:caps/>
      <w:sz w:val="20"/>
      <w:szCs w:val="20"/>
    </w:rPr>
  </w:style>
  <w:style w:type="paragraph" w:styleId="19">
    <w:name w:val="toc 4"/>
    <w:basedOn w:val="1"/>
    <w:next w:val="1"/>
    <w:qFormat/>
    <w:uiPriority w:val="99"/>
    <w:pPr>
      <w:ind w:left="840"/>
      <w:jc w:val="left"/>
    </w:pPr>
    <w:rPr>
      <w:rFonts w:cs="Calibri"/>
      <w:sz w:val="18"/>
      <w:szCs w:val="18"/>
    </w:rPr>
  </w:style>
  <w:style w:type="paragraph" w:styleId="20">
    <w:name w:val="toc 6"/>
    <w:basedOn w:val="1"/>
    <w:next w:val="1"/>
    <w:qFormat/>
    <w:uiPriority w:val="99"/>
    <w:pPr>
      <w:ind w:left="1400"/>
      <w:jc w:val="left"/>
    </w:pPr>
    <w:rPr>
      <w:rFonts w:cs="Calibri"/>
      <w:sz w:val="18"/>
      <w:szCs w:val="18"/>
    </w:rPr>
  </w:style>
  <w:style w:type="paragraph" w:styleId="21">
    <w:name w:val="toc 2"/>
    <w:basedOn w:val="1"/>
    <w:next w:val="1"/>
    <w:qFormat/>
    <w:uiPriority w:val="99"/>
    <w:pPr>
      <w:ind w:left="280"/>
      <w:jc w:val="left"/>
    </w:pPr>
    <w:rPr>
      <w:rFonts w:cs="Calibri"/>
      <w:smallCaps/>
      <w:sz w:val="20"/>
      <w:szCs w:val="20"/>
    </w:rPr>
  </w:style>
  <w:style w:type="paragraph" w:styleId="22">
    <w:name w:val="toc 9"/>
    <w:basedOn w:val="1"/>
    <w:next w:val="1"/>
    <w:qFormat/>
    <w:uiPriority w:val="99"/>
    <w:pPr>
      <w:ind w:left="2240"/>
      <w:jc w:val="left"/>
    </w:pPr>
    <w:rPr>
      <w:rFonts w:cs="Calibri"/>
      <w:sz w:val="18"/>
      <w:szCs w:val="18"/>
    </w:rPr>
  </w:style>
  <w:style w:type="paragraph" w:styleId="23">
    <w:name w:val="annotation subject"/>
    <w:basedOn w:val="11"/>
    <w:next w:val="11"/>
    <w:link w:val="41"/>
    <w:semiHidden/>
    <w:qFormat/>
    <w:uiPriority w:val="99"/>
    <w:rPr>
      <w:b/>
      <w:bCs/>
    </w:rPr>
  </w:style>
  <w:style w:type="table" w:styleId="25">
    <w:name w:val="Table Grid"/>
    <w:basedOn w:val="24"/>
    <w:uiPriority w:val="99"/>
    <w:rPr>
      <w:rFonts w:ascii="Calibri" w:hAnsi="Calibri" w:eastAsia="宋体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7">
    <w:name w:val="Hyperlink"/>
    <w:basedOn w:val="26"/>
    <w:qFormat/>
    <w:uiPriority w:val="99"/>
    <w:rPr>
      <w:rFonts w:cs="Times New Roman"/>
      <w:color w:val="0000FF"/>
      <w:u w:val="single"/>
    </w:rPr>
  </w:style>
  <w:style w:type="character" w:styleId="28">
    <w:name w:val="annotation reference"/>
    <w:basedOn w:val="26"/>
    <w:semiHidden/>
    <w:qFormat/>
    <w:uiPriority w:val="99"/>
    <w:rPr>
      <w:rFonts w:cs="Times New Roman"/>
      <w:sz w:val="16"/>
    </w:rPr>
  </w:style>
  <w:style w:type="character" w:customStyle="1" w:styleId="29">
    <w:name w:val="Heading 1 Char"/>
    <w:basedOn w:val="26"/>
    <w:link w:val="2"/>
    <w:qFormat/>
    <w:locked/>
    <w:uiPriority w:val="99"/>
    <w:rPr>
      <w:rFonts w:ascii="Times New Roman" w:hAnsi="Times New Roman" w:eastAsia="仿宋_GB2312" w:cs="Times New Roman"/>
      <w:b/>
      <w:bCs/>
      <w:kern w:val="44"/>
      <w:sz w:val="44"/>
      <w:szCs w:val="44"/>
    </w:rPr>
  </w:style>
  <w:style w:type="character" w:customStyle="1" w:styleId="30">
    <w:name w:val="Heading 2 Char"/>
    <w:basedOn w:val="26"/>
    <w:link w:val="5"/>
    <w:locked/>
    <w:uiPriority w:val="99"/>
    <w:rPr>
      <w:rFonts w:ascii="Cambria" w:hAnsi="Cambria" w:eastAsia="仿宋_GB2312" w:cs="Times New Roman"/>
      <w:b/>
      <w:bCs/>
      <w:kern w:val="0"/>
      <w:sz w:val="32"/>
      <w:szCs w:val="32"/>
    </w:rPr>
  </w:style>
  <w:style w:type="character" w:customStyle="1" w:styleId="31">
    <w:name w:val="Heading 3 Char"/>
    <w:basedOn w:val="26"/>
    <w:link w:val="7"/>
    <w:qFormat/>
    <w:locked/>
    <w:uiPriority w:val="99"/>
    <w:rPr>
      <w:rFonts w:ascii="Calibri" w:hAnsi="Calibri" w:eastAsia="仿宋_GB2312" w:cs="Times New Roman"/>
      <w:bCs/>
      <w:kern w:val="0"/>
      <w:sz w:val="32"/>
      <w:szCs w:val="32"/>
    </w:rPr>
  </w:style>
  <w:style w:type="character" w:customStyle="1" w:styleId="32">
    <w:name w:val="Heading 4 Char"/>
    <w:basedOn w:val="26"/>
    <w:link w:val="8"/>
    <w:semiHidden/>
    <w:qFormat/>
    <w:locked/>
    <w:uiPriority w:val="99"/>
    <w:rPr>
      <w:rFonts w:ascii="Cambria" w:hAnsi="Cambria" w:eastAsia="宋体" w:cs="Times New Roman"/>
      <w:b/>
      <w:bCs/>
      <w:kern w:val="0"/>
      <w:sz w:val="28"/>
      <w:szCs w:val="28"/>
    </w:rPr>
  </w:style>
  <w:style w:type="character" w:customStyle="1" w:styleId="33">
    <w:name w:val="Header Char"/>
    <w:basedOn w:val="26"/>
    <w:link w:val="17"/>
    <w:qFormat/>
    <w:locked/>
    <w:uiPriority w:val="99"/>
    <w:rPr>
      <w:rFonts w:cs="Times New Roman"/>
      <w:sz w:val="18"/>
      <w:szCs w:val="18"/>
    </w:rPr>
  </w:style>
  <w:style w:type="character" w:customStyle="1" w:styleId="34">
    <w:name w:val="Footer Char"/>
    <w:basedOn w:val="26"/>
    <w:link w:val="16"/>
    <w:qFormat/>
    <w:locked/>
    <w:uiPriority w:val="99"/>
    <w:rPr>
      <w:rFonts w:cs="Times New Roman"/>
      <w:sz w:val="18"/>
      <w:szCs w:val="18"/>
    </w:rPr>
  </w:style>
  <w:style w:type="character" w:customStyle="1" w:styleId="35">
    <w:name w:val="Body Text Indent Char"/>
    <w:basedOn w:val="26"/>
    <w:link w:val="4"/>
    <w:semiHidden/>
    <w:qFormat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36">
    <w:name w:val="Body Text First Indent 2 Char"/>
    <w:basedOn w:val="35"/>
    <w:link w:val="3"/>
    <w:locked/>
    <w:uiPriority w:val="99"/>
  </w:style>
  <w:style w:type="character" w:customStyle="1" w:styleId="37">
    <w:name w:val="Intense Reference"/>
    <w:basedOn w:val="26"/>
    <w:qFormat/>
    <w:uiPriority w:val="99"/>
    <w:rPr>
      <w:b/>
      <w:smallCaps/>
      <w:color w:val="C0504D"/>
      <w:spacing w:val="5"/>
      <w:u w:val="single"/>
    </w:rPr>
  </w:style>
  <w:style w:type="character" w:customStyle="1" w:styleId="38">
    <w:name w:val="Balloon Text Char"/>
    <w:basedOn w:val="26"/>
    <w:link w:val="15"/>
    <w:semiHidden/>
    <w:qFormat/>
    <w:locked/>
    <w:uiPriority w:val="99"/>
    <w:rPr>
      <w:rFonts w:ascii="Calibri" w:hAnsi="Calibri" w:eastAsia="仿宋_GB2312" w:cs="Times New Roman"/>
      <w:kern w:val="0"/>
      <w:sz w:val="18"/>
      <w:szCs w:val="18"/>
    </w:rPr>
  </w:style>
  <w:style w:type="paragraph" w:styleId="39">
    <w:name w:val="List Paragraph"/>
    <w:basedOn w:val="1"/>
    <w:qFormat/>
    <w:uiPriority w:val="99"/>
    <w:pPr>
      <w:ind w:firstLine="420"/>
    </w:pPr>
  </w:style>
  <w:style w:type="character" w:customStyle="1" w:styleId="40">
    <w:name w:val="Comment Text Char"/>
    <w:basedOn w:val="26"/>
    <w:link w:val="11"/>
    <w:semiHidden/>
    <w:qFormat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41">
    <w:name w:val="Comment Subject Char"/>
    <w:basedOn w:val="40"/>
    <w:link w:val="23"/>
    <w:semiHidden/>
    <w:qFormat/>
    <w:locked/>
    <w:uiPriority w:val="99"/>
    <w:rPr>
      <w:b/>
      <w:bCs/>
    </w:rPr>
  </w:style>
  <w:style w:type="character" w:customStyle="1" w:styleId="42">
    <w:name w:val="Document Map Char"/>
    <w:basedOn w:val="26"/>
    <w:link w:val="10"/>
    <w:semiHidden/>
    <w:locked/>
    <w:uiPriority w:val="99"/>
    <w:rPr>
      <w:rFonts w:ascii="宋体" w:hAnsi="Calibri" w:eastAsia="宋体" w:cs="Times New Roman"/>
      <w:kern w:val="0"/>
      <w:sz w:val="18"/>
      <w:szCs w:val="18"/>
    </w:rPr>
  </w:style>
  <w:style w:type="character" w:customStyle="1" w:styleId="43">
    <w:name w:val="No Spacing Char"/>
    <w:link w:val="6"/>
    <w:locked/>
    <w:uiPriority w:val="99"/>
    <w:rPr>
      <w:rFonts w:ascii="Calibri" w:hAnsi="Calibri" w:eastAsia="仿宋_GB2312"/>
      <w:sz w:val="22"/>
    </w:rPr>
  </w:style>
  <w:style w:type="paragraph" w:customStyle="1" w:styleId="44">
    <w:name w:val="闻政-正文段落文字"/>
    <w:basedOn w:val="1"/>
    <w:link w:val="45"/>
    <w:uiPriority w:val="99"/>
    <w:pPr>
      <w:spacing w:line="500" w:lineRule="exact"/>
      <w:ind w:firstLine="200"/>
    </w:pPr>
    <w:rPr>
      <w:rFonts w:ascii="Times New Roman" w:hAnsi="Times New Roman" w:cs="Times New Roman"/>
      <w:kern w:val="0"/>
      <w:szCs w:val="28"/>
    </w:rPr>
  </w:style>
  <w:style w:type="character" w:customStyle="1" w:styleId="45">
    <w:name w:val="闻政-正文段落文字 Char"/>
    <w:link w:val="44"/>
    <w:locked/>
    <w:uiPriority w:val="99"/>
    <w:rPr>
      <w:rFonts w:ascii="Times New Roman" w:hAnsi="Times New Roman" w:eastAsia="仿宋_GB2312"/>
      <w:kern w:val="0"/>
      <w:sz w:val="28"/>
    </w:rPr>
  </w:style>
  <w:style w:type="paragraph" w:customStyle="1" w:styleId="46">
    <w:name w:val="闻政-正文二级标题"/>
    <w:basedOn w:val="5"/>
    <w:next w:val="44"/>
    <w:link w:val="47"/>
    <w:qFormat/>
    <w:uiPriority w:val="99"/>
    <w:pPr>
      <w:spacing w:before="120" w:after="60" w:line="500" w:lineRule="exact"/>
      <w:ind w:left="200" w:leftChars="200" w:firstLine="0" w:firstLineChars="0"/>
    </w:pPr>
    <w:rPr>
      <w:rFonts w:ascii="Times New Roman" w:hAnsi="Times New Roman"/>
      <w:sz w:val="28"/>
    </w:rPr>
  </w:style>
  <w:style w:type="character" w:customStyle="1" w:styleId="47">
    <w:name w:val="闻政-正文二级标题 Char"/>
    <w:link w:val="46"/>
    <w:qFormat/>
    <w:locked/>
    <w:uiPriority w:val="99"/>
    <w:rPr>
      <w:rFonts w:ascii="Times New Roman" w:hAnsi="Times New Roman" w:eastAsia="仿宋_GB2312"/>
      <w:b/>
      <w:kern w:val="0"/>
      <w:sz w:val="32"/>
    </w:rPr>
  </w:style>
  <w:style w:type="paragraph" w:customStyle="1" w:styleId="48">
    <w:name w:val="闻政-正文三级标题"/>
    <w:basedOn w:val="1"/>
    <w:next w:val="44"/>
    <w:link w:val="49"/>
    <w:qFormat/>
    <w:uiPriority w:val="99"/>
    <w:pPr>
      <w:widowControl/>
      <w:spacing w:before="120" w:after="60" w:line="500" w:lineRule="exact"/>
      <w:ind w:left="200" w:leftChars="200" w:firstLine="0" w:firstLineChars="0"/>
    </w:pPr>
    <w:rPr>
      <w:rFonts w:ascii="Times New Roman" w:hAnsi="Times New Roman" w:cs="Times New Roman"/>
      <w:b/>
      <w:kern w:val="0"/>
      <w:szCs w:val="28"/>
    </w:rPr>
  </w:style>
  <w:style w:type="character" w:customStyle="1" w:styleId="49">
    <w:name w:val="闻政-正文三级标题 Char"/>
    <w:link w:val="48"/>
    <w:locked/>
    <w:uiPriority w:val="99"/>
    <w:rPr>
      <w:rFonts w:ascii="Times New Roman" w:hAnsi="Times New Roman" w:eastAsia="仿宋_GB2312"/>
      <w:b/>
      <w:snapToGrid w:val="0"/>
      <w:kern w:val="0"/>
      <w:sz w:val="28"/>
    </w:rPr>
  </w:style>
  <w:style w:type="paragraph" w:customStyle="1" w:styleId="50">
    <w:name w:val="闻政-正文四级标题"/>
    <w:basedOn w:val="48"/>
    <w:next w:val="44"/>
    <w:link w:val="51"/>
    <w:qFormat/>
    <w:uiPriority w:val="99"/>
    <w:rPr>
      <w:b w:val="0"/>
    </w:rPr>
  </w:style>
  <w:style w:type="character" w:customStyle="1" w:styleId="51">
    <w:name w:val="闻政-正文四级标题 Char"/>
    <w:link w:val="50"/>
    <w:locked/>
    <w:uiPriority w:val="99"/>
    <w:rPr>
      <w:rFonts w:ascii="Times New Roman" w:hAnsi="Times New Roman" w:eastAsia="仿宋_GB2312"/>
      <w:snapToGrid w:val="0"/>
      <w:kern w:val="0"/>
      <w:sz w:val="28"/>
    </w:rPr>
  </w:style>
  <w:style w:type="paragraph" w:customStyle="1" w:styleId="52">
    <w:name w:val="闻政-正文一级标题"/>
    <w:basedOn w:val="7"/>
    <w:next w:val="44"/>
    <w:link w:val="53"/>
    <w:qFormat/>
    <w:uiPriority w:val="99"/>
    <w:pPr>
      <w:spacing w:before="120" w:after="60" w:line="500" w:lineRule="exact"/>
      <w:ind w:firstLine="0" w:firstLineChars="0"/>
      <w:outlineLvl w:val="0"/>
    </w:pPr>
    <w:rPr>
      <w:rFonts w:ascii="黑体" w:hAnsi="黑体" w:eastAsia="黑体"/>
      <w:sz w:val="32"/>
    </w:rPr>
  </w:style>
  <w:style w:type="character" w:customStyle="1" w:styleId="53">
    <w:name w:val="闻政-正文一级标题 Char"/>
    <w:link w:val="52"/>
    <w:locked/>
    <w:uiPriority w:val="99"/>
    <w:rPr>
      <w:rFonts w:ascii="黑体" w:hAnsi="黑体" w:eastAsia="黑体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theme" Target="theme/theme1.xml"/><Relationship Id="rId16" Type="http://schemas.openxmlformats.org/officeDocument/2006/relationships/footer" Target="footer8.xml"/><Relationship Id="rId15" Type="http://schemas.openxmlformats.org/officeDocument/2006/relationships/footer" Target="footer7.xml"/><Relationship Id="rId14" Type="http://schemas.openxmlformats.org/officeDocument/2006/relationships/footer" Target="footer6.xml"/><Relationship Id="rId13" Type="http://schemas.openxmlformats.org/officeDocument/2006/relationships/header" Target="header6.xml"/><Relationship Id="rId12" Type="http://schemas.openxmlformats.org/officeDocument/2006/relationships/header" Target="header5.xml"/><Relationship Id="rId11" Type="http://schemas.openxmlformats.org/officeDocument/2006/relationships/header" Target="header4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11</Pages>
  <Words>455</Words>
  <Characters>2599</Characters>
  <Lines>0</Lines>
  <Paragraphs>0</Paragraphs>
  <TotalTime>1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2020-07-13T07:59:00Z</dcterms:created>
  <dc:creator>qq</dc:creator>
  <cp:lastModifiedBy>sf</cp:lastModifiedBy>
  <dcterms:modified xsi:type="dcterms:W3CDTF">2022-03-28T02:41:34Z</dcterms:modified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