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2021襄汾县安全生产驻村工作队差旅费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襄汾县行政审批服务管理局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襄汾县行政审批服务管理局-126001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2019年12月1日，襄汾县召开安全生产千人誓师大会，为了贯彻落实全县安全生产千人誓师大会精神，全县248支安全生产集中整治驻村工作队奔赴各村开展安全隐患大排查，我单位派出4支工作队，共计12人。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县委县政府会议精神。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按照财政局下发资金，专款专用，发放到个人手中。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驻村人员项目资金以差旅费足额发放给个人。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按照财政局下发资金，专款专用，发放到个人手中。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按照财政局下发资金，专款专用，发放到个人手中。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2021襄汾县安全生产驻村工作队差旅费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驻村人数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资金分配准确率（%）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资金发放准确率（%）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工作效率提升度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档案管理制度健全性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预算执行率为100%，按照实际情况正常支出。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驻村人数为12人，资金分配准确率为100%，资金发放准确率为100%。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工作效率提升率为98%，群众满意度为98%。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档案管理制度健全。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</w:rPr>
        <w:t>预算一体化系统极大的提高了工作效率和资金使用的透明度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</w:rPr>
        <w:t>按要求完成了既定目标，无其他问题</w:t>
      </w:r>
      <w:r>
        <w:rPr>
          <w:rFonts w:hint="eastAsia"/>
          <w:lang w:eastAsia="zh-CN"/>
        </w:rPr>
        <w:t>。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  <w:bookmarkStart w:id="18" w:name="_GoBack"/>
      <w:bookmarkEnd w:id="18"/>
    </w:p>
    <w:p>
      <w:pPr>
        <w:pStyle w:val="52"/>
        <w:numPr>
          <w:ilvl w:val="0"/>
          <w:numId w:val="0"/>
        </w:numPr>
        <w:ind w:firstLine="640" w:firstLineChars="200"/>
        <w:rPr>
          <w:b w:val="0"/>
          <w:bCs/>
        </w:rPr>
      </w:pPr>
      <w:bookmarkStart w:id="15" w:name="_Toc24774"/>
      <w:r>
        <w:rPr>
          <w:rFonts w:hint="eastAsia" w:ascii="仿宋" w:hAnsi="仿宋" w:eastAsia="仿宋" w:cs="仿宋"/>
          <w:b w:val="0"/>
          <w:bCs/>
        </w:rPr>
        <w:t>单位应当设立专人对本单位的绩效目标项目进行管理负责。</w:t>
      </w:r>
      <w:bookmarkEnd w:id="15"/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资金分配准确率（%）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资金发放准确率（%）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工作效率提升度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档案管理制度健全性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37CB65D4"/>
    <w:rsid w:val="7D1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sf</cp:lastModifiedBy>
  <dcterms:modified xsi:type="dcterms:W3CDTF">2022-03-28T02:45:43Z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