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《襄汾年鉴》《中国共产党襄汾历史》第一卷印刷费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中共襄汾县委党史研究中心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中共襄汾县委党史研究中心-131001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9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2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3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6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3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7" w:name="_GoBack"/>
      <w:bookmarkEnd w:id="17"/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资金来源于财政拨款，出版印刷《襄汾年鉴》《中国共产党襄汾历史》第一卷。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本单位日常工作需要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严格按照《中华人民共和国预算法》收支两条线管理规定，认真贯彻执行。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保质保量完成工作任务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7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12.22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12.22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12.22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2.78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2.78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2.78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81.47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81.47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81.47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出版、印刷《襄汾年鉴2020》《中国共产党襄汾历史》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出版、印刷《襄汾年鉴2020》《中国共产党襄汾历史》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《襄汾年鉴》《中国共产党襄汾历史》第一卷印刷费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98.15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7"/>
        <w:tblW w:w="8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81.46%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8.15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出版、印刷《襄汾年鉴2020》《中国共产党襄汾历史》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1000本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刊物内容审核通过率（%）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成本控制在预算内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按预算执行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资政存史育人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发行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连续出版《襄汾年鉴》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每年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7"/>
        <w:tblW w:w="9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完成预算的81.46%,原因为</w:t>
      </w:r>
      <w:r>
        <w:rPr>
          <w:rFonts w:hint="eastAsia" w:ascii="仿宋_GB2312"/>
          <w:bCs/>
        </w:rPr>
        <w:t>《中国共产党襄汾历史》</w:t>
      </w:r>
      <w:r>
        <w:rPr>
          <w:rFonts w:hint="eastAsia" w:ascii="仿宋_GB2312"/>
          <w:bCs/>
          <w:lang w:eastAsia="zh-CN"/>
        </w:rPr>
        <w:t>未出版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hint="eastAsia" w:ascii="仿宋_GB2312"/>
          <w:bCs/>
        </w:rPr>
      </w:pPr>
      <w:r>
        <w:rPr>
          <w:rFonts w:hint="eastAsia" w:ascii="仿宋_GB2312"/>
          <w:bCs/>
        </w:rPr>
        <w:t>出版、印刷《襄汾年鉴2020》《中国共产党襄汾历史》：1000</w:t>
      </w:r>
    </w:p>
    <w:p>
      <w:pPr>
        <w:pStyle w:val="44"/>
        <w:ind w:left="1134" w:leftChars="405" w:firstLine="426" w:firstLineChars="0"/>
        <w:rPr>
          <w:rFonts w:hint="eastAsia" w:ascii="仿宋_GB2312"/>
          <w:bCs/>
        </w:rPr>
      </w:pPr>
      <w:r>
        <w:rPr>
          <w:rFonts w:hint="eastAsia" w:ascii="仿宋_GB2312"/>
          <w:bCs/>
        </w:rPr>
        <w:t>刊物内容审核通过率（%）：100%</w:t>
      </w:r>
    </w:p>
    <w:p>
      <w:pPr>
        <w:pStyle w:val="44"/>
        <w:ind w:left="1134" w:leftChars="405" w:firstLine="426" w:firstLineChars="0"/>
        <w:rPr>
          <w:rFonts w:hint="eastAsia" w:ascii="仿宋_GB2312"/>
          <w:bCs/>
        </w:rPr>
      </w:pPr>
      <w:r>
        <w:rPr>
          <w:rFonts w:hint="eastAsia" w:ascii="仿宋_GB2312"/>
          <w:bCs/>
        </w:rPr>
        <w:t>按时完成：按时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</w:rPr>
        <w:t>成本控制在预算内：按预算执行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hint="eastAsia" w:ascii="仿宋_GB2312"/>
          <w:bCs/>
        </w:rPr>
      </w:pPr>
      <w:r>
        <w:rPr>
          <w:rFonts w:hint="eastAsia" w:ascii="仿宋_GB2312"/>
          <w:bCs/>
        </w:rPr>
        <w:t>资政存史育人：发行；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</w:rPr>
        <w:t>连续出版《襄汾年鉴》：每年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</w:rPr>
        <w:t>群众满意度（%）：100%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为领导决策和外界认识襄汾、了解襄汾提供依据，保存了历史资料。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val="en-US" w:eastAsia="zh-CN"/>
        </w:rPr>
      </w:pPr>
      <w:r>
        <w:rPr>
          <w:rFonts w:hint="eastAsia"/>
        </w:rPr>
        <w:t>存在出版周期长</w:t>
      </w:r>
      <w:r>
        <w:rPr>
          <w:rFonts w:hint="eastAsia"/>
          <w:lang w:eastAsia="zh-CN"/>
        </w:rPr>
        <w:t>，原因为审稿时长无确定性。</w:t>
      </w:r>
    </w:p>
    <w:p>
      <w:pPr>
        <w:pStyle w:val="52"/>
        <w:numPr>
          <w:ilvl w:val="0"/>
          <w:numId w:val="2"/>
        </w:numPr>
        <w:rPr>
          <w:rFonts w:hint="eastAsia"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进一步加强项目管理措施及建议</w:t>
      </w:r>
      <w:bookmarkEnd w:id="14"/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明确目标，做好规划，按时完成工作任务。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7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81.46%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81.46%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《中国共产党襄汾历史》未出版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出版、印刷《襄汾年鉴2020》《中国共产党襄汾历史》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1000本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刊物内容审核通过率（%）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按时完成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成本控制在预算内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按预算执行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资政存史育人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发行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连续出版《襄汾年鉴》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每年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7"/>
        <w:tblW w:w="12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</w:p>
  <w:p>
    <w:pPr>
      <w:pStyle w:val="1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7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</w:p>
  <w:p>
    <w:pPr>
      <w:pStyle w:val="17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D1314"/>
    <w:multiLevelType w:val="singleLevel"/>
    <w:tmpl w:val="DC4D131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65F66A7"/>
    <w:rsid w:val="4824366C"/>
    <w:rsid w:val="5F424F94"/>
    <w:rsid w:val="735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4">
    <w:name w:val="Default Paragraph Font"/>
    <w:semiHidden/>
    <w:qFormat/>
    <w:uiPriority w:val="99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annotation subject"/>
    <w:basedOn w:val="10"/>
    <w:next w:val="10"/>
    <w:link w:val="41"/>
    <w:semiHidden/>
    <w:uiPriority w:val="99"/>
    <w:rPr>
      <w:b/>
      <w:bCs/>
    </w:rPr>
  </w:style>
  <w:style w:type="paragraph" w:styleId="10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1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2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3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4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5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6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0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1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2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3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character" w:styleId="25">
    <w:name w:val="Hyperlink"/>
    <w:basedOn w:val="24"/>
    <w:uiPriority w:val="99"/>
    <w:rPr>
      <w:rFonts w:cs="Times New Roman"/>
      <w:color w:val="0000FF"/>
      <w:u w:val="single"/>
    </w:rPr>
  </w:style>
  <w:style w:type="character" w:styleId="26">
    <w:name w:val="annotation reference"/>
    <w:basedOn w:val="24"/>
    <w:semiHidden/>
    <w:qFormat/>
    <w:uiPriority w:val="99"/>
    <w:rPr>
      <w:rFonts w:cs="Times New Roman"/>
      <w:sz w:val="16"/>
    </w:rPr>
  </w:style>
  <w:style w:type="table" w:styleId="28">
    <w:name w:val="Table Grid"/>
    <w:basedOn w:val="27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Heading 1 Char"/>
    <w:basedOn w:val="24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4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4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4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4"/>
    <w:link w:val="18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4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4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4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4"/>
    <w:link w:val="16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4"/>
    <w:link w:val="10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9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4"/>
    <w:link w:val="12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2022-03-17T00:57:02Z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