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  <w:bookmarkStart w:id="17" w:name="_GoBack"/>
      <w:bookmarkEnd w:id="17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业务经费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中共襄汾县委党史研究中心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中共襄汾县委党史研究中心-131001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9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2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3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6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3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资金来源于财政拨款，出版印刷《襄汾年鉴》《中国共产党史襄汾历史》；下乡扶贫、驻村第一书记差旅费；县委、县政府安排的其他工作事项所需的办公费、邮电费、培训费、工会经费、购置费等。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本单位日常工作需要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严格按照《中华人民共和国预算法》收支两条线管理规定，认真贯彻执行。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保质保量完成工作任务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7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98.79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4.89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4.89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完成出版、印刷《襄汾年鉴2020》《中国共产党襄汾历史》、为上级单位提供资料、县委县政府下达的其他工作任务。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完成出版、印刷《襄汾年鉴2020》《中国共产党襄汾历史》、为上级单位提供资料、县委县政府下达的其他工作任务。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业务经费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99.88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7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98.78%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9.88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出版、印刷《襄汾年鉴2020》《中国共产党襄汾历史》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1000本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审核通过符合度（%）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预算范围内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按预算执行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资政存史育人作用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发行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进度执行率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7"/>
        <w:tblW w:w="9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</w:rPr>
        <w:t>按时完成：按时；预算范围内：按预算执行；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eastAsia" w:ascii="仿宋_GB2312"/>
          <w:bCs/>
        </w:rPr>
      </w:pPr>
      <w:r>
        <w:rPr>
          <w:rFonts w:hint="eastAsia" w:ascii="仿宋_GB2312"/>
          <w:bCs/>
        </w:rPr>
        <w:t>出版、印刷《襄汾年鉴2020》《中国共产党襄汾历史》：1000；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</w:rPr>
        <w:t>审核通过符合度（%）：100%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</w:rPr>
        <w:t>资政存史育人作用：发行；进度执行率：100%；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</w:rPr>
      </w:pPr>
      <w:r>
        <w:rPr>
          <w:rFonts w:hint="eastAsia" w:ascii="仿宋_GB2312"/>
          <w:bCs/>
        </w:rPr>
        <w:t>满意度：100%；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领导重视，各方配合，组织周密，计划落实到位。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出版周期长，原因为审稿时长无确定性。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合理使用资金，做到花小钱办大事。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7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98.78%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98.78%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压减开支，节能减排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出版、印刷《襄汾年鉴2020》《中国共产党襄汾历史》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1000本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审核通过符合度（%）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预算范围内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按预算执行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资政存史育人作用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发行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进度执行率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7"/>
        <w:tblW w:w="12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</w:p>
  <w:p>
    <w:pPr>
      <w:pStyle w:val="1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7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</w:p>
  <w:p>
    <w:pPr>
      <w:pStyle w:val="17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8C16B05"/>
    <w:rsid w:val="1B8F4DEF"/>
    <w:rsid w:val="2E704CE7"/>
    <w:rsid w:val="401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4">
    <w:name w:val="Default Paragraph Font"/>
    <w:semiHidden/>
    <w:uiPriority w:val="99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annotation subject"/>
    <w:basedOn w:val="10"/>
    <w:next w:val="10"/>
    <w:link w:val="41"/>
    <w:semiHidden/>
    <w:qFormat/>
    <w:uiPriority w:val="99"/>
    <w:rPr>
      <w:b/>
      <w:bCs/>
    </w:rPr>
  </w:style>
  <w:style w:type="paragraph" w:styleId="10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1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2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3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4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5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6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0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1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2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3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character" w:styleId="25">
    <w:name w:val="Hyperlink"/>
    <w:basedOn w:val="24"/>
    <w:qFormat/>
    <w:uiPriority w:val="99"/>
    <w:rPr>
      <w:rFonts w:cs="Times New Roman"/>
      <w:color w:val="0000FF"/>
      <w:u w:val="single"/>
    </w:rPr>
  </w:style>
  <w:style w:type="character" w:styleId="26">
    <w:name w:val="annotation reference"/>
    <w:basedOn w:val="24"/>
    <w:semiHidden/>
    <w:uiPriority w:val="99"/>
    <w:rPr>
      <w:rFonts w:cs="Times New Roman"/>
      <w:sz w:val="16"/>
    </w:rPr>
  </w:style>
  <w:style w:type="table" w:styleId="28">
    <w:name w:val="Table Grid"/>
    <w:basedOn w:val="27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ing 1 Char"/>
    <w:basedOn w:val="24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4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4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4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4"/>
    <w:link w:val="18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4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4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4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4"/>
    <w:link w:val="16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4"/>
    <w:link w:val="10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9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4"/>
    <w:link w:val="12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2022-03-17T02:38:02Z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