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社会服务经费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中共襄汾县委政法委员会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中共襄汾县委政法委员会-109001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财政拨款资金，主要工作内容有网格化管理，信息上报，分析研判，分流指派，矛盾纠纷化解，三级中心标准化建设，心理服务。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国家标准GB/T33200-2016,襄编字[2019]21号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三级中心经费使用管理制度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网格员基层走访，信息上报，分流指派，信息反馈，提出问题，分析研判，形成报告上报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86.48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86.48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86.48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80.25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  <w:rPr>
          <w:rFonts w:hint="eastAsia" w:eastAsia="仿宋_GB2312"/>
          <w:lang w:eastAsia="zh-CN"/>
        </w:rPr>
      </w:pPr>
      <w:r>
        <w:t>1、发现社会问题及隐患，研判分析为上级部门决策提供依据。</w:t>
      </w:r>
    </w:p>
    <w:p>
      <w:pPr>
        <w:pStyle w:val="44"/>
        <w:ind w:left="280" w:firstLine="560"/>
        <w:rPr>
          <w:rFonts w:hint="eastAsia" w:eastAsia="仿宋_GB2312"/>
          <w:lang w:eastAsia="zh-CN"/>
        </w:rPr>
      </w:pPr>
      <w:r>
        <w:t>2、分流指派，跟踪落实解决基层上报的矛盾纠纷。</w:t>
      </w:r>
    </w:p>
    <w:p>
      <w:pPr>
        <w:pStyle w:val="44"/>
        <w:ind w:left="280" w:firstLine="560"/>
        <w:rPr>
          <w:rFonts w:hint="eastAsia" w:eastAsia="仿宋_GB2312"/>
          <w:lang w:eastAsia="zh-CN"/>
        </w:rPr>
      </w:pPr>
      <w:r>
        <w:t>3、指导三级中心各项工作开展。</w:t>
      </w:r>
    </w:p>
    <w:p>
      <w:pPr>
        <w:pStyle w:val="44"/>
        <w:ind w:left="280" w:firstLine="560"/>
      </w:pPr>
      <w:r>
        <w:t>4、做好三级中心标准化建设工作。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1、发现社会问题及隐患，研判分析为上级部门决策提供依据。2、分流指派，跟踪落实解决基层上报的矛盾纠纷。3、指导三级中心各项工作开展。4、做好三级中心标准化建设工作。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社会服务经费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83.39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86.48%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8.65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网格员工资发放到位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三级中心运转有序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网格员工资及时发放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0.33年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资金合理使用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69.4万元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信息有效处理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13.33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13.33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bookmarkStart w:id="10" w:name="_Toc61505650"/>
      <w:r>
        <w:rPr>
          <w:rFonts w:hint="eastAsia" w:ascii="仿宋" w:hAnsi="仿宋" w:eastAsia="仿宋" w:cs="仿宋"/>
          <w:b/>
          <w:bCs w:val="0"/>
        </w:rPr>
        <w:t>三、</w:t>
      </w:r>
      <w:bookmarkStart w:id="11" w:name="_Toc17451"/>
      <w:bookmarkStart w:id="12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1"/>
      <w:bookmarkEnd w:id="12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圆满完成项目工作，合理使用资金。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按时发放网格员工资，合理使用资金，三级中心正常有序运转。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通过三级中心共同协调，积极处置处理网格员上报信息。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我单位积极协调处理信息</w:t>
      </w:r>
      <w:bookmarkStart w:id="17" w:name="_GoBack"/>
      <w:bookmarkEnd w:id="17"/>
      <w:r>
        <w:rPr>
          <w:rFonts w:hint="eastAsia" w:ascii="仿宋_GB2312"/>
          <w:bCs/>
          <w:lang w:val="en-US" w:eastAsia="zh-CN"/>
        </w:rPr>
        <w:t>，群众满意度达80%，维护了社会的和谐稳定。</w:t>
      </w:r>
    </w:p>
    <w:p>
      <w:pPr>
        <w:pStyle w:val="52"/>
      </w:pPr>
      <w:bookmarkStart w:id="13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3"/>
      <w:r>
        <w:t xml:space="preserve"> </w:t>
      </w:r>
    </w:p>
    <w:p>
      <w:pPr>
        <w:pStyle w:val="44"/>
      </w:pPr>
      <w:r>
        <w:rPr>
          <w:rFonts w:hint="eastAsia"/>
        </w:rPr>
        <w:t>根据项目目标与实际情况，我单位严格按照拟定的计划执行，合理有效的使用资金，科学规划，同时加强对项目经费的合理使用和监督，确保该项目顺利实施。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4"/>
    </w:p>
    <w:p>
      <w:pPr>
        <w:pStyle w:val="44"/>
        <w:ind w:firstLine="840" w:firstLineChars="300"/>
      </w:pPr>
      <w:r>
        <w:rPr>
          <w:rFonts w:hint="eastAsia"/>
        </w:rPr>
        <w:t>本年我单位项目绩效指标基本完成，预算指标基本到位。需要更好的完善管理机制。</w:t>
      </w:r>
    </w:p>
    <w:p>
      <w:pPr>
        <w:pStyle w:val="52"/>
        <w:numPr>
          <w:ilvl w:val="0"/>
          <w:numId w:val="2"/>
        </w:numPr>
        <w:rPr>
          <w:rFonts w:hint="eastAsia" w:ascii="仿宋" w:hAnsi="仿宋" w:eastAsia="仿宋" w:cs="仿宋"/>
          <w:b/>
          <w:bCs w:val="0"/>
        </w:rPr>
      </w:pPr>
      <w:bookmarkStart w:id="15" w:name="_Toc61505649"/>
      <w:r>
        <w:rPr>
          <w:rFonts w:hint="eastAsia" w:ascii="仿宋" w:hAnsi="仿宋" w:eastAsia="仿宋" w:cs="仿宋"/>
          <w:b/>
          <w:bCs w:val="0"/>
        </w:rPr>
        <w:t>进一步加强项目管理措施及建议</w:t>
      </w:r>
      <w:bookmarkEnd w:id="15"/>
    </w:p>
    <w:p>
      <w:pPr>
        <w:pStyle w:val="44"/>
        <w:numPr>
          <w:ilvl w:val="0"/>
          <w:numId w:val="0"/>
        </w:numPr>
        <w:ind w:firstLine="560" w:firstLineChars="200"/>
      </w:pPr>
      <w:r>
        <w:rPr>
          <w:rFonts w:hint="eastAsia"/>
        </w:rPr>
        <w:t>加强项目绩效目标的管理，推进绩效运行监控。进一步完善预算安排与执行的有效性，合理编制本单位预算，确保项目切实可行。明确项目目标，做好项目规划。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0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86.48%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86.48%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8.65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节约资金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网格员工资发放到位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140人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87.50%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13.13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网格员更换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三级中心运转有序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网格员工资及时发放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0.33年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33.00%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4.95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每季度发放一次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资金合理使用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80.25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69.4万元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86.48%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节约资金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信息有效处理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88.89%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13.33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88.89%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13.33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工资发放时间间隔长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AAD4"/>
    <w:multiLevelType w:val="singleLevel"/>
    <w:tmpl w:val="B3F5AA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1ZTZmYjA5NjE5MWZlODY0MzA4NzhmMjM1OTlh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786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1401</Words>
  <Characters>1706</Characters>
  <Lines>0</Lines>
  <Paragraphs>0</Paragraphs>
  <TotalTime>2</TotalTime>
  <ScaleCrop>false</ScaleCrop>
  <LinksUpToDate>false</LinksUpToDate>
  <CharactersWithSpaces>1730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123</cp:lastModifiedBy>
  <dcterms:modified xsi:type="dcterms:W3CDTF">2022-10-14T09:09:02Z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2A8F21F7D391471FB038FD76FD97BADF</vt:lpwstr>
  </property>
</Properties>
</file>