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880"/>
        <w:jc w:val="center"/>
        <w:rPr>
          <w:rFonts w:ascii="华文中宋" w:hAnsi="华文中宋" w:eastAsia="华文中宋"/>
          <w:sz w:val="44"/>
          <w:szCs w:val="44"/>
        </w:rPr>
      </w:pPr>
      <w:r>
        <w:rPr>
          <w:rFonts w:hint="eastAsia" w:ascii="华文中宋" w:hAnsi="华文中宋" w:eastAsia="华文中宋"/>
          <w:sz w:val="44"/>
          <w:szCs w:val="44"/>
        </w:rPr>
        <w:t>襄汾县第二幼儿园</w:t>
      </w:r>
    </w:p>
    <w:p>
      <w:pPr>
        <w:ind w:firstLine="880"/>
        <w:jc w:val="center"/>
        <w:rPr>
          <w:rFonts w:ascii="华文中宋" w:hAnsi="华文中宋" w:eastAsia="华文中宋"/>
          <w:sz w:val="44"/>
          <w:szCs w:val="44"/>
        </w:rPr>
      </w:pPr>
      <w:r>
        <w:rPr>
          <w:rFonts w:hint="eastAsia" w:ascii="华文中宋" w:hAnsi="华文中宋" w:eastAsia="华文中宋"/>
          <w:sz w:val="44"/>
          <w:szCs w:val="44"/>
        </w:rPr>
        <w:t>2019年度部门决算</w:t>
      </w:r>
    </w:p>
    <w:p>
      <w:pPr>
        <w:spacing w:line="580" w:lineRule="exact"/>
        <w:ind w:firstLine="600"/>
        <w:rPr>
          <w:sz w:val="30"/>
          <w:szCs w:val="30"/>
        </w:rPr>
      </w:pPr>
    </w:p>
    <w:p>
      <w:pPr>
        <w:ind w:firstLine="640"/>
        <w:rPr>
          <w:rFonts w:ascii="黑体" w:hAnsi="黑体" w:eastAsia="黑体"/>
          <w:szCs w:val="32"/>
        </w:rPr>
      </w:pPr>
      <w:r>
        <w:rPr>
          <w:rFonts w:hint="eastAsia" w:ascii="黑体" w:hAnsi="黑体" w:eastAsia="黑体"/>
          <w:szCs w:val="32"/>
        </w:rPr>
        <w:t>第一部分  概况</w:t>
      </w:r>
    </w:p>
    <w:p>
      <w:pPr>
        <w:ind w:firstLine="643"/>
        <w:rPr>
          <w:rFonts w:ascii="仿宋_GB2312" w:hAnsi="楷体"/>
          <w:b/>
          <w:szCs w:val="32"/>
        </w:rPr>
      </w:pPr>
      <w:r>
        <w:rPr>
          <w:rFonts w:hint="eastAsia" w:ascii="仿宋_GB2312" w:hAnsi="楷体"/>
          <w:b/>
          <w:szCs w:val="32"/>
        </w:rPr>
        <w:t>一、本单位职责</w:t>
      </w:r>
    </w:p>
    <w:p>
      <w:pPr>
        <w:ind w:firstLine="640"/>
        <w:rPr>
          <w:rFonts w:ascii="仿宋_GB2312" w:hAnsi="楷体_GB2312" w:cs="楷体_GB2312"/>
          <w:szCs w:val="32"/>
        </w:rPr>
      </w:pPr>
      <w:r>
        <w:rPr>
          <w:rFonts w:hint="eastAsia" w:ascii="仿宋_GB2312" w:hAnsi="楷体_GB2312" w:cs="楷体_GB2312"/>
          <w:szCs w:val="32"/>
        </w:rPr>
        <w:t>襄汾县第二幼儿园主要负责贯彻落实《3-6岁儿童学习与发展指南》精神，积极探索幼儿教育发展的规律，以“一切为了孩子”为宗旨，以“促进幼儿全面发展”为根本，为襄汾河西区范围内学龄前儿童提供保育和教育服务，让小朋友健康快乐成长，让家长称心满意。</w:t>
      </w:r>
    </w:p>
    <w:p>
      <w:pPr>
        <w:ind w:firstLine="643"/>
        <w:rPr>
          <w:rFonts w:ascii="仿宋_GB2312" w:hAnsi="楷体"/>
          <w:b/>
          <w:szCs w:val="32"/>
        </w:rPr>
      </w:pPr>
      <w:r>
        <w:rPr>
          <w:rFonts w:hint="eastAsia" w:ascii="仿宋_GB2312" w:hAnsi="楷体"/>
          <w:b/>
          <w:szCs w:val="32"/>
        </w:rPr>
        <w:t>二、机构设置情况</w:t>
      </w:r>
    </w:p>
    <w:p>
      <w:pPr>
        <w:ind w:firstLine="640"/>
        <w:rPr>
          <w:rFonts w:ascii="仿宋_GB2312" w:hAnsi="楷体_GB2312" w:cs="楷体_GB2312"/>
          <w:szCs w:val="32"/>
        </w:rPr>
      </w:pPr>
      <w:r>
        <w:rPr>
          <w:rFonts w:hint="eastAsia" w:ascii="仿宋_GB2312" w:hAnsi="楷体_GB2312" w:cs="楷体_GB2312"/>
          <w:szCs w:val="32"/>
        </w:rPr>
        <w:t>襄汾县第二幼儿园，单位性质为全额拨款事业单位，统一社会</w:t>
      </w:r>
      <w:r>
        <w:rPr>
          <w:rFonts w:hint="eastAsia" w:ascii="仿宋_GB2312" w:hAnsi="楷体_GB2312" w:cs="楷体_GB2312"/>
          <w:szCs w:val="32"/>
          <w:lang w:eastAsia="zh-CN"/>
        </w:rPr>
        <w:t>信用</w:t>
      </w:r>
      <w:r>
        <w:rPr>
          <w:rFonts w:hint="eastAsia" w:ascii="仿宋_GB2312" w:hAnsi="楷体_GB2312" w:cs="楷体_GB2312"/>
          <w:szCs w:val="32"/>
        </w:rPr>
        <w:t>代码为12140923595339221K，内部设六个职能单位，即总务室、保教室、师训室、财务室、党群工作室、工会；事业编制48人，实有人数35人。</w:t>
      </w:r>
    </w:p>
    <w:p>
      <w:pPr>
        <w:ind w:firstLine="640"/>
        <w:rPr>
          <w:rFonts w:ascii="黑体" w:hAnsi="黑体" w:eastAsia="黑体"/>
          <w:szCs w:val="32"/>
        </w:rPr>
      </w:pPr>
      <w:r>
        <w:rPr>
          <w:rFonts w:hint="eastAsia" w:ascii="黑体" w:hAnsi="黑体" w:eastAsia="黑体"/>
          <w:szCs w:val="32"/>
        </w:rPr>
        <w:t>第二部分  2019年度单位决算报表</w:t>
      </w:r>
    </w:p>
    <w:p>
      <w:pPr>
        <w:ind w:firstLine="640"/>
        <w:rPr>
          <w:rFonts w:ascii="仿宋_GB2312" w:hAnsi="楷体"/>
          <w:szCs w:val="32"/>
        </w:rPr>
      </w:pPr>
      <w:r>
        <w:rPr>
          <w:rFonts w:hint="eastAsia" w:ascii="仿宋_GB2312" w:hAnsi="楷体"/>
          <w:szCs w:val="32"/>
        </w:rPr>
        <w:t>一、收入支出决算总表</w:t>
      </w:r>
    </w:p>
    <w:p>
      <w:pPr>
        <w:ind w:firstLine="640"/>
        <w:rPr>
          <w:rFonts w:ascii="仿宋_GB2312" w:hAnsi="楷体"/>
          <w:szCs w:val="32"/>
        </w:rPr>
      </w:pPr>
      <w:r>
        <w:rPr>
          <w:rFonts w:hint="eastAsia" w:ascii="仿宋_GB2312" w:hAnsi="楷体"/>
          <w:szCs w:val="32"/>
        </w:rPr>
        <w:t>二、收入决算表</w:t>
      </w:r>
    </w:p>
    <w:p>
      <w:pPr>
        <w:ind w:firstLine="640"/>
        <w:rPr>
          <w:rFonts w:ascii="仿宋_GB2312" w:hAnsi="楷体"/>
          <w:szCs w:val="32"/>
        </w:rPr>
      </w:pPr>
      <w:r>
        <w:rPr>
          <w:rFonts w:hint="eastAsia" w:ascii="仿宋_GB2312" w:hAnsi="楷体"/>
          <w:szCs w:val="32"/>
        </w:rPr>
        <w:t>三、支出决算表</w:t>
      </w:r>
    </w:p>
    <w:p>
      <w:pPr>
        <w:ind w:firstLine="640"/>
        <w:rPr>
          <w:rFonts w:ascii="仿宋_GB2312" w:hAnsi="楷体"/>
          <w:szCs w:val="32"/>
        </w:rPr>
      </w:pPr>
      <w:r>
        <w:rPr>
          <w:rFonts w:hint="eastAsia" w:ascii="仿宋_GB2312" w:hAnsi="楷体"/>
          <w:szCs w:val="32"/>
        </w:rPr>
        <w:t>四、财政拨款收入支出决算总表</w:t>
      </w:r>
    </w:p>
    <w:p>
      <w:pPr>
        <w:ind w:firstLine="640"/>
        <w:rPr>
          <w:rFonts w:ascii="仿宋_GB2312" w:hAnsi="楷体"/>
          <w:szCs w:val="32"/>
        </w:rPr>
      </w:pPr>
      <w:r>
        <w:rPr>
          <w:rFonts w:hint="eastAsia" w:ascii="仿宋_GB2312" w:hAnsi="楷体"/>
          <w:szCs w:val="32"/>
        </w:rPr>
        <w:t>五、一般公共预算财政拨款支出决算表（一）</w:t>
      </w:r>
      <w:bookmarkStart w:id="0" w:name="_GoBack"/>
      <w:bookmarkEnd w:id="0"/>
    </w:p>
    <w:p>
      <w:pPr>
        <w:ind w:firstLine="640"/>
        <w:rPr>
          <w:rFonts w:ascii="仿宋_GB2312" w:hAnsi="楷体"/>
          <w:szCs w:val="32"/>
        </w:rPr>
      </w:pPr>
      <w:r>
        <w:rPr>
          <w:rFonts w:hint="eastAsia" w:ascii="仿宋_GB2312" w:hAnsi="楷体"/>
          <w:szCs w:val="32"/>
        </w:rPr>
        <w:t>六、一般公共预算财政拨款支出决算表（二）</w:t>
      </w:r>
    </w:p>
    <w:p>
      <w:pPr>
        <w:ind w:firstLine="640"/>
        <w:rPr>
          <w:rFonts w:ascii="仿宋_GB2312" w:hAnsi="楷体"/>
          <w:szCs w:val="32"/>
        </w:rPr>
      </w:pPr>
      <w:r>
        <w:rPr>
          <w:rFonts w:hint="eastAsia" w:ascii="仿宋_GB2312" w:hAnsi="楷体"/>
          <w:szCs w:val="32"/>
        </w:rPr>
        <w:t>七、一般公共预算财政拨款“三公”经费支出决算表</w:t>
      </w:r>
    </w:p>
    <w:p>
      <w:pPr>
        <w:ind w:firstLine="640"/>
        <w:rPr>
          <w:rFonts w:ascii="仿宋_GB2312" w:hAnsi="楷体"/>
          <w:szCs w:val="32"/>
        </w:rPr>
      </w:pPr>
      <w:r>
        <w:rPr>
          <w:rFonts w:hint="eastAsia" w:ascii="仿宋_GB2312" w:hAnsi="楷体"/>
          <w:szCs w:val="32"/>
        </w:rPr>
        <w:t>八、政府性基金预算财政拨款收入支出决算表</w:t>
      </w:r>
    </w:p>
    <w:p>
      <w:pPr>
        <w:ind w:firstLine="640"/>
        <w:rPr>
          <w:rFonts w:ascii="仿宋_GB2312" w:hAnsi="楷体"/>
          <w:szCs w:val="32"/>
        </w:rPr>
      </w:pPr>
      <w:r>
        <w:rPr>
          <w:rFonts w:hint="eastAsia" w:ascii="仿宋_GB2312" w:hAnsi="楷体"/>
          <w:szCs w:val="32"/>
        </w:rPr>
        <w:t>九、单位决算公开相关信息统计表</w:t>
      </w:r>
    </w:p>
    <w:p>
      <w:pPr>
        <w:ind w:firstLine="640"/>
        <w:rPr>
          <w:rFonts w:ascii="黑体" w:hAnsi="黑体" w:eastAsia="黑体"/>
          <w:szCs w:val="32"/>
        </w:rPr>
      </w:pPr>
      <w:r>
        <w:rPr>
          <w:rFonts w:hint="eastAsia" w:ascii="黑体" w:hAnsi="黑体" w:eastAsia="黑体"/>
          <w:szCs w:val="32"/>
        </w:rPr>
        <w:t>第三部分  2019年度单位决算情况说明</w:t>
      </w:r>
    </w:p>
    <w:p>
      <w:pPr>
        <w:ind w:firstLine="643"/>
        <w:rPr>
          <w:rFonts w:ascii="仿宋_GB2312"/>
          <w:b/>
          <w:szCs w:val="32"/>
        </w:rPr>
      </w:pPr>
      <w:r>
        <w:rPr>
          <w:rFonts w:hint="eastAsia" w:ascii="仿宋_GB2312"/>
          <w:b/>
          <w:szCs w:val="32"/>
        </w:rPr>
        <w:t>一、收入支出决算总体情况说明</w:t>
      </w:r>
    </w:p>
    <w:p>
      <w:pPr>
        <w:ind w:firstLine="640"/>
        <w:rPr>
          <w:rFonts w:ascii="仿宋_GB2312"/>
          <w:szCs w:val="32"/>
        </w:rPr>
      </w:pPr>
      <w:r>
        <w:rPr>
          <w:rFonts w:hint="eastAsia" w:ascii="仿宋_GB2312"/>
          <w:szCs w:val="32"/>
        </w:rPr>
        <w:t>2019年度收入</w:t>
      </w:r>
      <w:r>
        <w:rPr>
          <w:rFonts w:ascii="仿宋_GB2312"/>
          <w:szCs w:val="32"/>
        </w:rPr>
        <w:t>总计</w:t>
      </w:r>
      <w:r>
        <w:rPr>
          <w:rFonts w:hint="eastAsia" w:ascii="仿宋_GB2312"/>
          <w:szCs w:val="32"/>
        </w:rPr>
        <w:t>755.32万元、支出总计672.65万元。与2018年相比，收入总计增加105.55万元，增加16.24%，主要原因是2019年幼儿增加，相应经费增加。</w:t>
      </w:r>
      <w:r>
        <w:rPr>
          <w:rFonts w:ascii="仿宋_GB2312"/>
          <w:szCs w:val="32"/>
        </w:rPr>
        <w:t>支出总计</w:t>
      </w:r>
      <w:r>
        <w:rPr>
          <w:rFonts w:hint="eastAsia" w:ascii="仿宋_GB2312"/>
          <w:szCs w:val="32"/>
        </w:rPr>
        <w:t>减少25.87万元</w:t>
      </w:r>
      <w:r>
        <w:rPr>
          <w:rFonts w:ascii="仿宋_GB2312"/>
          <w:szCs w:val="32"/>
        </w:rPr>
        <w:t>，</w:t>
      </w:r>
      <w:r>
        <w:rPr>
          <w:rFonts w:hint="eastAsia" w:ascii="仿宋_GB2312"/>
          <w:szCs w:val="32"/>
        </w:rPr>
        <w:t>减少3.7</w:t>
      </w:r>
      <w:r>
        <w:rPr>
          <w:rFonts w:ascii="仿宋_GB2312"/>
          <w:szCs w:val="32"/>
        </w:rPr>
        <w:t>%</w:t>
      </w:r>
      <w:r>
        <w:rPr>
          <w:rFonts w:hint="eastAsia" w:ascii="仿宋_GB2312"/>
          <w:szCs w:val="32"/>
        </w:rPr>
        <w:t>。主要原因是2019年部分业务未完，款项结转下年支付。</w:t>
      </w:r>
    </w:p>
    <w:p>
      <w:pPr>
        <w:spacing w:line="580" w:lineRule="exact"/>
        <w:ind w:firstLine="643"/>
        <w:outlineLvl w:val="0"/>
        <w:rPr>
          <w:rFonts w:ascii="仿宋_GB2312"/>
          <w:b/>
          <w:szCs w:val="32"/>
        </w:rPr>
      </w:pPr>
      <w:r>
        <w:rPr>
          <w:rFonts w:hint="eastAsia" w:ascii="仿宋_GB2312"/>
          <w:b/>
          <w:szCs w:val="32"/>
        </w:rPr>
        <w:t>二、收入决算情况说明</w:t>
      </w:r>
    </w:p>
    <w:p>
      <w:pPr>
        <w:spacing w:line="580" w:lineRule="exact"/>
        <w:ind w:firstLine="640"/>
        <w:rPr>
          <w:rFonts w:ascii="仿宋_GB2312"/>
          <w:szCs w:val="32"/>
        </w:rPr>
      </w:pPr>
      <w:r>
        <w:rPr>
          <w:rFonts w:hint="eastAsia" w:ascii="仿宋_GB2312"/>
          <w:szCs w:val="32"/>
        </w:rPr>
        <w:t>本年收入合计755.32万元，其中：财政拨款收入388.03万元，占比51.37%；事业收入367.29万元，占比48.63%。</w:t>
      </w:r>
    </w:p>
    <w:p>
      <w:pPr>
        <w:spacing w:line="580" w:lineRule="exact"/>
        <w:ind w:firstLine="643"/>
        <w:outlineLvl w:val="0"/>
        <w:rPr>
          <w:rFonts w:ascii="仿宋_GB2312"/>
          <w:b/>
          <w:szCs w:val="32"/>
        </w:rPr>
      </w:pPr>
      <w:r>
        <w:rPr>
          <w:rFonts w:hint="eastAsia" w:ascii="仿宋_GB2312"/>
          <w:b/>
          <w:szCs w:val="32"/>
        </w:rPr>
        <w:t>三、支出决算情况说明</w:t>
      </w:r>
    </w:p>
    <w:p>
      <w:pPr>
        <w:spacing w:line="580" w:lineRule="exact"/>
        <w:ind w:firstLine="640"/>
        <w:rPr>
          <w:rFonts w:ascii="仿宋_GB2312"/>
          <w:szCs w:val="32"/>
        </w:rPr>
      </w:pPr>
      <w:r>
        <w:rPr>
          <w:rFonts w:hint="eastAsia" w:ascii="仿宋_GB2312"/>
          <w:szCs w:val="32"/>
        </w:rPr>
        <w:t>本年支出合计672.65万元，其中：基本支出552.68万元，占比82.16%：项目支出119.97万元，占比17.84%。</w:t>
      </w:r>
    </w:p>
    <w:p>
      <w:pPr>
        <w:spacing w:line="580" w:lineRule="exact"/>
        <w:ind w:firstLine="643"/>
        <w:rPr>
          <w:rFonts w:ascii="仿宋_GB2312"/>
          <w:b/>
          <w:szCs w:val="32"/>
        </w:rPr>
      </w:pPr>
      <w:r>
        <w:rPr>
          <w:rFonts w:hint="eastAsia" w:ascii="仿宋_GB2312"/>
          <w:b/>
          <w:szCs w:val="32"/>
        </w:rPr>
        <w:t>四、财政拨款收入支出决算总体情况说明</w:t>
      </w:r>
    </w:p>
    <w:p>
      <w:pPr>
        <w:spacing w:line="580" w:lineRule="exact"/>
        <w:ind w:firstLine="640"/>
        <w:rPr>
          <w:rFonts w:ascii="仿宋_GB2312"/>
          <w:szCs w:val="32"/>
        </w:rPr>
      </w:pPr>
      <w:r>
        <w:rPr>
          <w:rFonts w:hint="eastAsia" w:ascii="仿宋_GB2312"/>
          <w:szCs w:val="32"/>
        </w:rPr>
        <w:t>2019年度财政拨款收入</w:t>
      </w:r>
      <w:r>
        <w:rPr>
          <w:rFonts w:ascii="仿宋_GB2312"/>
          <w:szCs w:val="32"/>
        </w:rPr>
        <w:t>总计</w:t>
      </w:r>
      <w:r>
        <w:rPr>
          <w:rFonts w:hint="eastAsia" w:ascii="仿宋_GB2312"/>
          <w:szCs w:val="32"/>
        </w:rPr>
        <w:t>388.03万元。与2018年相比，财政拨款收入总计增加89.27万元，增加29.88%，主要原因是扩大办园规模，招收幼儿人数增加。</w:t>
      </w:r>
    </w:p>
    <w:p>
      <w:pPr>
        <w:spacing w:line="580" w:lineRule="exact"/>
        <w:ind w:firstLine="640"/>
        <w:rPr>
          <w:rFonts w:ascii="仿宋_GB2312"/>
          <w:szCs w:val="32"/>
        </w:rPr>
      </w:pPr>
      <w:r>
        <w:rPr>
          <w:rFonts w:hint="eastAsia" w:ascii="仿宋_GB2312"/>
          <w:szCs w:val="32"/>
        </w:rPr>
        <w:t>财政拨款支出总计390.52万元。与2018年相比，支出总计增加91.76万元，增加30.71%。主要原因是单位有人员调资、活动开展比较多。</w:t>
      </w:r>
    </w:p>
    <w:p>
      <w:pPr>
        <w:spacing w:line="580" w:lineRule="exact"/>
        <w:ind w:firstLine="643"/>
        <w:rPr>
          <w:rFonts w:ascii="仿宋_GB2312"/>
          <w:b/>
          <w:szCs w:val="32"/>
        </w:rPr>
      </w:pPr>
      <w:r>
        <w:rPr>
          <w:rFonts w:hint="eastAsia" w:ascii="仿宋_GB2312"/>
          <w:b/>
          <w:szCs w:val="32"/>
        </w:rPr>
        <w:t>五、一般公共预算财政拨款支出决算情况说明</w:t>
      </w:r>
    </w:p>
    <w:p>
      <w:pPr>
        <w:spacing w:line="580" w:lineRule="exact"/>
        <w:ind w:firstLine="643"/>
        <w:rPr>
          <w:rFonts w:ascii="仿宋_GB2312"/>
          <w:b/>
          <w:szCs w:val="32"/>
        </w:rPr>
      </w:pPr>
      <w:r>
        <w:rPr>
          <w:rFonts w:hint="eastAsia" w:ascii="仿宋_GB2312"/>
          <w:b/>
          <w:szCs w:val="32"/>
        </w:rPr>
        <w:t>（一）财政拨款支出决算总体情况</w:t>
      </w:r>
    </w:p>
    <w:p>
      <w:pPr>
        <w:spacing w:line="580" w:lineRule="exact"/>
        <w:ind w:firstLine="640"/>
        <w:rPr>
          <w:rFonts w:ascii="仿宋_GB2312"/>
          <w:szCs w:val="32"/>
        </w:rPr>
      </w:pPr>
      <w:r>
        <w:rPr>
          <w:rFonts w:hint="eastAsia" w:ascii="仿宋_GB2312"/>
          <w:szCs w:val="32"/>
        </w:rPr>
        <w:t>2019年度财政拨款支出390.52万元，占本年支出合计的58.06%。与2018年相比，财政拨款支出增加91.76万元，增加30.71%。主要原因是单位有人员调资、活动开展比较多。其中，人员经费283.25万元，占比72.53%，公用经费107.27万元，占比27.47%。</w:t>
      </w:r>
    </w:p>
    <w:p>
      <w:pPr>
        <w:spacing w:line="580" w:lineRule="exact"/>
        <w:ind w:firstLine="643"/>
        <w:rPr>
          <w:rFonts w:ascii="仿宋_GB2312"/>
          <w:b/>
          <w:szCs w:val="32"/>
        </w:rPr>
      </w:pPr>
      <w:r>
        <w:rPr>
          <w:rFonts w:hint="eastAsia" w:ascii="仿宋_GB2312"/>
          <w:b/>
          <w:szCs w:val="32"/>
        </w:rPr>
        <w:t>（二）财政拨款</w:t>
      </w:r>
      <w:r>
        <w:rPr>
          <w:rFonts w:ascii="仿宋_GB2312"/>
          <w:b/>
          <w:szCs w:val="32"/>
        </w:rPr>
        <w:t>支出决算结构情况</w:t>
      </w:r>
    </w:p>
    <w:p>
      <w:pPr>
        <w:spacing w:line="580" w:lineRule="exact"/>
        <w:ind w:firstLine="640"/>
        <w:rPr>
          <w:rFonts w:ascii="仿宋_GB2312"/>
          <w:szCs w:val="32"/>
        </w:rPr>
      </w:pPr>
      <w:r>
        <w:rPr>
          <w:rFonts w:hint="eastAsia" w:ascii="仿宋_GB2312"/>
          <w:szCs w:val="32"/>
        </w:rPr>
        <w:t>2019年度</w:t>
      </w:r>
      <w:r>
        <w:rPr>
          <w:rFonts w:ascii="仿宋_GB2312"/>
          <w:szCs w:val="32"/>
        </w:rPr>
        <w:t>财政拨款支出</w:t>
      </w:r>
      <w:r>
        <w:rPr>
          <w:rFonts w:hint="eastAsia" w:ascii="仿宋_GB2312"/>
          <w:szCs w:val="32"/>
        </w:rPr>
        <w:t>390.52万元</w:t>
      </w:r>
      <w:r>
        <w:rPr>
          <w:rFonts w:ascii="仿宋_GB2312"/>
          <w:szCs w:val="32"/>
        </w:rPr>
        <w:t>，主要用于以下方面：</w:t>
      </w:r>
      <w:r>
        <w:rPr>
          <w:rFonts w:hint="eastAsia" w:ascii="仿宋_GB2312"/>
          <w:szCs w:val="32"/>
        </w:rPr>
        <w:t>教育支出323.32万元</w:t>
      </w:r>
      <w:r>
        <w:rPr>
          <w:rFonts w:ascii="仿宋_GB2312"/>
          <w:szCs w:val="32"/>
        </w:rPr>
        <w:t>，占</w:t>
      </w:r>
      <w:r>
        <w:rPr>
          <w:rFonts w:hint="eastAsia" w:ascii="仿宋_GB2312"/>
          <w:szCs w:val="32"/>
        </w:rPr>
        <w:t>82.79</w:t>
      </w:r>
      <w:r>
        <w:rPr>
          <w:rFonts w:ascii="仿宋_GB2312"/>
          <w:szCs w:val="32"/>
        </w:rPr>
        <w:t>%；</w:t>
      </w:r>
      <w:r>
        <w:rPr>
          <w:rFonts w:hint="eastAsia" w:ascii="仿宋_GB2312"/>
          <w:szCs w:val="32"/>
        </w:rPr>
        <w:t>社会保障和就业支出37.28万元</w:t>
      </w:r>
      <w:r>
        <w:rPr>
          <w:rFonts w:ascii="仿宋_GB2312"/>
          <w:szCs w:val="32"/>
        </w:rPr>
        <w:t>，占</w:t>
      </w:r>
      <w:r>
        <w:rPr>
          <w:rFonts w:hint="eastAsia" w:ascii="仿宋_GB2312"/>
          <w:szCs w:val="32"/>
        </w:rPr>
        <w:t>9.55</w:t>
      </w:r>
      <w:r>
        <w:rPr>
          <w:rFonts w:ascii="仿宋_GB2312"/>
          <w:szCs w:val="32"/>
        </w:rPr>
        <w:t>%；</w:t>
      </w:r>
      <w:r>
        <w:rPr>
          <w:rFonts w:hint="eastAsia" w:ascii="仿宋_GB2312"/>
          <w:szCs w:val="32"/>
        </w:rPr>
        <w:t>卫生健康支出14.24万元</w:t>
      </w:r>
      <w:r>
        <w:rPr>
          <w:rFonts w:ascii="仿宋_GB2312"/>
          <w:szCs w:val="32"/>
        </w:rPr>
        <w:t>，占</w:t>
      </w:r>
      <w:r>
        <w:rPr>
          <w:rFonts w:hint="eastAsia" w:ascii="仿宋_GB2312"/>
          <w:szCs w:val="32"/>
        </w:rPr>
        <w:t>3.65</w:t>
      </w:r>
      <w:r>
        <w:rPr>
          <w:rFonts w:ascii="仿宋_GB2312"/>
          <w:szCs w:val="32"/>
        </w:rPr>
        <w:t>%；</w:t>
      </w:r>
      <w:r>
        <w:rPr>
          <w:rFonts w:hint="eastAsia" w:ascii="仿宋_GB2312"/>
          <w:szCs w:val="32"/>
        </w:rPr>
        <w:t>住房保障支出15.68万元</w:t>
      </w:r>
      <w:r>
        <w:rPr>
          <w:rFonts w:ascii="仿宋_GB2312"/>
          <w:szCs w:val="32"/>
        </w:rPr>
        <w:t>，占</w:t>
      </w:r>
      <w:r>
        <w:rPr>
          <w:rFonts w:hint="eastAsia" w:ascii="仿宋_GB2312"/>
          <w:szCs w:val="32"/>
        </w:rPr>
        <w:t>4.01</w:t>
      </w:r>
      <w:r>
        <w:rPr>
          <w:rFonts w:ascii="仿宋_GB2312"/>
          <w:szCs w:val="32"/>
        </w:rPr>
        <w:t>%</w:t>
      </w:r>
      <w:r>
        <w:rPr>
          <w:rFonts w:hint="eastAsia" w:ascii="仿宋_GB2312"/>
          <w:szCs w:val="32"/>
        </w:rPr>
        <w:t>。</w:t>
      </w:r>
    </w:p>
    <w:p>
      <w:pPr>
        <w:spacing w:line="580" w:lineRule="exact"/>
        <w:ind w:firstLine="643"/>
        <w:rPr>
          <w:rFonts w:ascii="仿宋_GB2312"/>
          <w:b/>
          <w:szCs w:val="32"/>
        </w:rPr>
      </w:pPr>
      <w:r>
        <w:rPr>
          <w:rFonts w:hint="eastAsia" w:ascii="仿宋_GB2312"/>
          <w:b/>
          <w:szCs w:val="32"/>
        </w:rPr>
        <w:t>（三）财政拨款支出决算具体情况</w:t>
      </w:r>
    </w:p>
    <w:p>
      <w:pPr>
        <w:spacing w:line="580" w:lineRule="exact"/>
        <w:ind w:firstLine="640"/>
        <w:rPr>
          <w:rFonts w:ascii="仿宋_GB2312"/>
          <w:szCs w:val="32"/>
        </w:rPr>
      </w:pPr>
      <w:r>
        <w:rPr>
          <w:rFonts w:hint="eastAsia" w:ascii="仿宋_GB2312"/>
          <w:szCs w:val="32"/>
        </w:rPr>
        <w:t>2019年度</w:t>
      </w:r>
      <w:r>
        <w:rPr>
          <w:rFonts w:ascii="仿宋_GB2312"/>
          <w:szCs w:val="32"/>
        </w:rPr>
        <w:t>财政拨款</w:t>
      </w:r>
      <w:r>
        <w:rPr>
          <w:rFonts w:hint="eastAsia" w:ascii="仿宋_GB2312"/>
          <w:szCs w:val="32"/>
        </w:rPr>
        <w:t>一般公共预算</w:t>
      </w:r>
      <w:r>
        <w:rPr>
          <w:rFonts w:ascii="仿宋_GB2312"/>
          <w:szCs w:val="32"/>
        </w:rPr>
        <w:t>支出</w:t>
      </w:r>
      <w:r>
        <w:rPr>
          <w:rFonts w:hint="eastAsia" w:ascii="仿宋_GB2312"/>
          <w:szCs w:val="32"/>
        </w:rPr>
        <w:t>年初</w:t>
      </w:r>
      <w:r>
        <w:rPr>
          <w:rFonts w:ascii="仿宋_GB2312"/>
          <w:szCs w:val="32"/>
        </w:rPr>
        <w:t>预算</w:t>
      </w:r>
      <w:r>
        <w:rPr>
          <w:rFonts w:hint="eastAsia" w:ascii="仿宋_GB2312"/>
          <w:szCs w:val="32"/>
        </w:rPr>
        <w:t>390.52万元，2019年度</w:t>
      </w:r>
      <w:r>
        <w:rPr>
          <w:rFonts w:ascii="仿宋_GB2312"/>
          <w:szCs w:val="32"/>
        </w:rPr>
        <w:t>财政拨款支出</w:t>
      </w:r>
      <w:r>
        <w:rPr>
          <w:rFonts w:hint="eastAsia" w:ascii="仿宋_GB2312"/>
          <w:szCs w:val="32"/>
        </w:rPr>
        <w:t>390.52万元，完成预算的100</w:t>
      </w:r>
      <w:r>
        <w:rPr>
          <w:rFonts w:ascii="仿宋_GB2312"/>
          <w:szCs w:val="32"/>
        </w:rPr>
        <w:t>%</w:t>
      </w:r>
      <w:r>
        <w:rPr>
          <w:rFonts w:hint="eastAsia" w:ascii="仿宋_GB2312"/>
          <w:szCs w:val="32"/>
        </w:rPr>
        <w:t>，</w:t>
      </w:r>
      <w:r>
        <w:rPr>
          <w:rFonts w:hint="eastAsia"/>
          <w:szCs w:val="32"/>
        </w:rPr>
        <w:t>用于人员经费、公用经费及资本性支出。</w:t>
      </w:r>
      <w:r>
        <w:rPr>
          <w:rFonts w:hint="eastAsia" w:ascii="仿宋_GB2312"/>
          <w:szCs w:val="32"/>
        </w:rPr>
        <w:t>较2018年决算增加91.76万元，增长30.71%，主要原因是单位有人员调资、活动开展比较多。</w:t>
      </w:r>
    </w:p>
    <w:p>
      <w:pPr>
        <w:spacing w:line="580" w:lineRule="exact"/>
        <w:ind w:firstLine="640"/>
        <w:rPr>
          <w:rFonts w:ascii="仿宋_GB2312"/>
          <w:szCs w:val="32"/>
        </w:rPr>
      </w:pPr>
      <w:r>
        <w:rPr>
          <w:rFonts w:hint="eastAsia" w:ascii="仿宋_GB2312"/>
          <w:szCs w:val="32"/>
        </w:rPr>
        <w:t>教育支出年初预算323.32万元，支出决算数323.32万元</w:t>
      </w:r>
      <w:r>
        <w:rPr>
          <w:rFonts w:ascii="仿宋_GB2312"/>
          <w:szCs w:val="32"/>
        </w:rPr>
        <w:t>，</w:t>
      </w:r>
      <w:r>
        <w:rPr>
          <w:rFonts w:hint="eastAsia" w:ascii="仿宋_GB2312"/>
          <w:szCs w:val="32"/>
        </w:rPr>
        <w:t>完成预算的100</w:t>
      </w:r>
      <w:r>
        <w:rPr>
          <w:rFonts w:ascii="仿宋_GB2312"/>
          <w:szCs w:val="32"/>
        </w:rPr>
        <w:t>%</w:t>
      </w:r>
      <w:r>
        <w:rPr>
          <w:rFonts w:hint="eastAsia" w:ascii="仿宋_GB2312"/>
          <w:szCs w:val="32"/>
        </w:rPr>
        <w:t>，主要用于单位机构运行支出及其他教育支出，较2018年决算增加91万元，增长39.17%，主要原因主要原因是人员调资，扩大办园规模，改造活动室，购置开展活动材料等。</w:t>
      </w:r>
    </w:p>
    <w:p>
      <w:pPr>
        <w:spacing w:line="580" w:lineRule="exact"/>
        <w:ind w:firstLine="640"/>
        <w:rPr>
          <w:rFonts w:ascii="仿宋_GB2312"/>
          <w:szCs w:val="32"/>
        </w:rPr>
      </w:pPr>
      <w:r>
        <w:rPr>
          <w:rFonts w:hint="eastAsia" w:ascii="仿宋_GB2312"/>
          <w:szCs w:val="32"/>
        </w:rPr>
        <w:t>社会保障和就业支出年初预算37.28万元，支出决算37.28万元，完成预算的100%，主要用于单位养老保险、工伤保险、生育保险缴费，较2018年决算减少1.75万元，主要原因是人员调动，</w:t>
      </w:r>
      <w:r>
        <w:rPr>
          <w:rFonts w:hint="eastAsia"/>
          <w:szCs w:val="32"/>
        </w:rPr>
        <w:t>工资调整</w:t>
      </w:r>
      <w:r>
        <w:rPr>
          <w:rFonts w:hint="eastAsia" w:ascii="仿宋_GB2312"/>
          <w:szCs w:val="32"/>
        </w:rPr>
        <w:t>。</w:t>
      </w:r>
    </w:p>
    <w:p>
      <w:pPr>
        <w:spacing w:line="580" w:lineRule="exact"/>
        <w:ind w:firstLine="640"/>
        <w:rPr>
          <w:rFonts w:ascii="仿宋_GB2312"/>
          <w:szCs w:val="32"/>
        </w:rPr>
      </w:pPr>
      <w:r>
        <w:rPr>
          <w:rFonts w:hint="eastAsia" w:ascii="仿宋_GB2312"/>
          <w:szCs w:val="32"/>
        </w:rPr>
        <w:t>卫生健康支出年初预算14.24万元，支出决算14.24万元</w:t>
      </w:r>
      <w:r>
        <w:rPr>
          <w:rFonts w:ascii="仿宋_GB2312"/>
          <w:szCs w:val="32"/>
        </w:rPr>
        <w:t>，</w:t>
      </w:r>
      <w:r>
        <w:rPr>
          <w:rFonts w:hint="eastAsia" w:ascii="仿宋_GB2312"/>
          <w:szCs w:val="32"/>
        </w:rPr>
        <w:t>完成预算的100</w:t>
      </w:r>
      <w:r>
        <w:rPr>
          <w:rFonts w:ascii="仿宋_GB2312"/>
          <w:szCs w:val="32"/>
        </w:rPr>
        <w:t>%；</w:t>
      </w:r>
      <w:r>
        <w:rPr>
          <w:rFonts w:hint="eastAsia" w:ascii="仿宋_GB2312"/>
          <w:szCs w:val="32"/>
        </w:rPr>
        <w:t>主要用于基本医疗保险、补充医疗保险缴费，较2018年决算减少0.94万元，主要原因是人员调动，</w:t>
      </w:r>
      <w:r>
        <w:rPr>
          <w:rFonts w:hint="eastAsia"/>
          <w:szCs w:val="32"/>
        </w:rPr>
        <w:t>工资调整</w:t>
      </w:r>
      <w:r>
        <w:rPr>
          <w:rFonts w:hint="eastAsia" w:ascii="仿宋_GB2312"/>
          <w:szCs w:val="32"/>
        </w:rPr>
        <w:t>。</w:t>
      </w:r>
    </w:p>
    <w:p>
      <w:pPr>
        <w:spacing w:line="580" w:lineRule="exact"/>
        <w:ind w:firstLine="640"/>
        <w:rPr>
          <w:rFonts w:ascii="仿宋_GB2312"/>
          <w:szCs w:val="32"/>
        </w:rPr>
      </w:pPr>
      <w:r>
        <w:rPr>
          <w:rFonts w:hint="eastAsia" w:ascii="仿宋_GB2312"/>
          <w:szCs w:val="32"/>
        </w:rPr>
        <w:t>住房保障支出年初预算15.68万元，支出决算15.68万元，完成预算100%，主要用于单位住房公积金缴费，支出较2018年决算减少1.57万元，主要原因是人员调动，</w:t>
      </w:r>
      <w:r>
        <w:rPr>
          <w:rFonts w:hint="eastAsia"/>
          <w:szCs w:val="32"/>
        </w:rPr>
        <w:t>工资调整</w:t>
      </w:r>
      <w:r>
        <w:rPr>
          <w:rFonts w:hint="eastAsia" w:ascii="仿宋_GB2312"/>
          <w:szCs w:val="32"/>
        </w:rPr>
        <w:t>。</w:t>
      </w:r>
    </w:p>
    <w:p>
      <w:pPr>
        <w:spacing w:line="580" w:lineRule="exact"/>
        <w:ind w:firstLine="643"/>
        <w:rPr>
          <w:b/>
          <w:szCs w:val="32"/>
        </w:rPr>
      </w:pPr>
      <w:r>
        <w:rPr>
          <w:rFonts w:hint="eastAsia"/>
          <w:b/>
          <w:szCs w:val="32"/>
        </w:rPr>
        <w:t>六、一般公共预算</w:t>
      </w:r>
      <w:r>
        <w:rPr>
          <w:b/>
          <w:szCs w:val="32"/>
        </w:rPr>
        <w:t>财政拨款基本支出决算情况说明</w:t>
      </w:r>
    </w:p>
    <w:p>
      <w:pPr>
        <w:spacing w:line="580" w:lineRule="exact"/>
        <w:ind w:firstLine="640"/>
        <w:rPr>
          <w:rFonts w:ascii="仿宋_GB2312"/>
          <w:szCs w:val="32"/>
        </w:rPr>
      </w:pPr>
      <w:r>
        <w:rPr>
          <w:rFonts w:hint="eastAsia" w:ascii="仿宋_GB2312"/>
          <w:szCs w:val="32"/>
        </w:rPr>
        <w:t>2019年度</w:t>
      </w:r>
      <w:r>
        <w:rPr>
          <w:rFonts w:ascii="仿宋_GB2312"/>
          <w:szCs w:val="32"/>
        </w:rPr>
        <w:t>财政拨款</w:t>
      </w:r>
      <w:r>
        <w:rPr>
          <w:rFonts w:hint="eastAsia" w:ascii="仿宋_GB2312"/>
          <w:szCs w:val="32"/>
        </w:rPr>
        <w:t>基本</w:t>
      </w:r>
      <w:r>
        <w:rPr>
          <w:rFonts w:ascii="仿宋_GB2312"/>
          <w:szCs w:val="32"/>
        </w:rPr>
        <w:t>支出</w:t>
      </w:r>
      <w:r>
        <w:rPr>
          <w:rFonts w:hint="eastAsia" w:ascii="仿宋_GB2312"/>
          <w:szCs w:val="32"/>
        </w:rPr>
        <w:t>270.55万元</w:t>
      </w:r>
      <w:r>
        <w:rPr>
          <w:rFonts w:ascii="仿宋_GB2312"/>
          <w:szCs w:val="32"/>
        </w:rPr>
        <w:t>，</w:t>
      </w:r>
      <w:r>
        <w:rPr>
          <w:rFonts w:hint="eastAsia" w:ascii="仿宋_GB2312"/>
          <w:szCs w:val="32"/>
        </w:rPr>
        <w:t>人员</w:t>
      </w:r>
      <w:r>
        <w:rPr>
          <w:rFonts w:ascii="仿宋_GB2312"/>
          <w:szCs w:val="32"/>
        </w:rPr>
        <w:t>经费</w:t>
      </w:r>
      <w:r>
        <w:rPr>
          <w:rFonts w:hint="eastAsia" w:ascii="仿宋_GB2312"/>
          <w:szCs w:val="32"/>
        </w:rPr>
        <w:t>270.55万元</w:t>
      </w:r>
      <w:r>
        <w:rPr>
          <w:rFonts w:ascii="仿宋_GB2312"/>
          <w:szCs w:val="32"/>
        </w:rPr>
        <w:t>，</w:t>
      </w:r>
      <w:r>
        <w:rPr>
          <w:rFonts w:hint="eastAsia" w:ascii="仿宋_GB2312"/>
          <w:szCs w:val="32"/>
        </w:rPr>
        <w:t>主要</w:t>
      </w:r>
      <w:r>
        <w:rPr>
          <w:rFonts w:ascii="仿宋_GB2312"/>
          <w:szCs w:val="32"/>
        </w:rPr>
        <w:t>包括</w:t>
      </w:r>
      <w:r>
        <w:rPr>
          <w:rFonts w:hint="eastAsia" w:ascii="仿宋_GB2312"/>
          <w:szCs w:val="32"/>
        </w:rPr>
        <w:t xml:space="preserve">工资福利支出270.43万元，对个人和家庭的补助0.12万元。 </w:t>
      </w:r>
    </w:p>
    <w:p>
      <w:pPr>
        <w:spacing w:line="580" w:lineRule="exact"/>
        <w:ind w:firstLine="643"/>
        <w:outlineLvl w:val="0"/>
        <w:rPr>
          <w:rFonts w:ascii="仿宋_GB2312"/>
          <w:b/>
          <w:szCs w:val="32"/>
        </w:rPr>
      </w:pPr>
      <w:r>
        <w:rPr>
          <w:rFonts w:hint="eastAsia" w:ascii="仿宋_GB2312"/>
          <w:b/>
          <w:szCs w:val="32"/>
        </w:rPr>
        <w:t>七、一般公共预算财政拨款“三公”经费支出决算情况说明</w:t>
      </w:r>
    </w:p>
    <w:p>
      <w:pPr>
        <w:spacing w:line="580" w:lineRule="exact"/>
        <w:ind w:firstLine="640"/>
        <w:rPr>
          <w:rFonts w:hint="eastAsia"/>
          <w:szCs w:val="32"/>
        </w:rPr>
      </w:pPr>
      <w:r>
        <w:rPr>
          <w:rFonts w:hint="eastAsia" w:ascii="仿宋_GB2312"/>
          <w:szCs w:val="32"/>
        </w:rPr>
        <w:t>我单位2019年度三公经费无支出，较上年没有变化。</w:t>
      </w:r>
    </w:p>
    <w:p>
      <w:pPr>
        <w:spacing w:line="580" w:lineRule="exact"/>
        <w:ind w:firstLine="640"/>
        <w:rPr>
          <w:szCs w:val="32"/>
        </w:rPr>
      </w:pPr>
      <w:r>
        <w:rPr>
          <w:rFonts w:hint="eastAsia" w:ascii="仿宋_GB2312"/>
          <w:szCs w:val="32"/>
        </w:rPr>
        <w:t>。</w:t>
      </w:r>
    </w:p>
    <w:p>
      <w:pPr>
        <w:spacing w:line="580" w:lineRule="exact"/>
        <w:ind w:firstLine="643"/>
        <w:rPr>
          <w:b/>
          <w:szCs w:val="32"/>
        </w:rPr>
      </w:pPr>
      <w:r>
        <w:rPr>
          <w:rFonts w:hint="eastAsia"/>
          <w:b/>
          <w:szCs w:val="32"/>
        </w:rPr>
        <w:t>八、其他重要事项情况说明</w:t>
      </w:r>
    </w:p>
    <w:p>
      <w:pPr>
        <w:spacing w:line="580" w:lineRule="exact"/>
        <w:ind w:firstLine="643"/>
        <w:outlineLvl w:val="0"/>
        <w:rPr>
          <w:rFonts w:ascii="仿宋_GB2312"/>
          <w:szCs w:val="32"/>
        </w:rPr>
      </w:pPr>
      <w:r>
        <w:rPr>
          <w:rFonts w:hint="eastAsia" w:ascii="仿宋_GB2312"/>
          <w:b/>
          <w:szCs w:val="32"/>
        </w:rPr>
        <w:t>（一）机关运行经费支出情况说明</w:t>
      </w:r>
    </w:p>
    <w:p>
      <w:pPr>
        <w:spacing w:line="580" w:lineRule="exact"/>
        <w:ind w:firstLine="640"/>
        <w:rPr>
          <w:b/>
          <w:szCs w:val="32"/>
        </w:rPr>
      </w:pPr>
      <w:r>
        <w:rPr>
          <w:rFonts w:hint="eastAsia" w:ascii="仿宋_GB2312" w:hAnsi="宋体"/>
          <w:szCs w:val="32"/>
        </w:rPr>
        <w:t>我单位为事业单位，无机关运行经费。</w:t>
      </w:r>
    </w:p>
    <w:p>
      <w:pPr>
        <w:spacing w:line="580" w:lineRule="exact"/>
        <w:ind w:firstLine="643"/>
        <w:outlineLvl w:val="0"/>
        <w:rPr>
          <w:rFonts w:ascii="仿宋_GB2312"/>
          <w:b/>
          <w:szCs w:val="32"/>
        </w:rPr>
      </w:pPr>
      <w:r>
        <w:rPr>
          <w:rFonts w:hint="eastAsia" w:ascii="仿宋_GB2312"/>
          <w:b/>
          <w:szCs w:val="32"/>
        </w:rPr>
        <w:t>（二）政府采购情况说明</w:t>
      </w:r>
    </w:p>
    <w:p>
      <w:pPr>
        <w:spacing w:line="580" w:lineRule="exact"/>
        <w:ind w:firstLine="640"/>
        <w:rPr>
          <w:rFonts w:ascii="仿宋_GB2312"/>
          <w:szCs w:val="32"/>
        </w:rPr>
      </w:pPr>
      <w:r>
        <w:rPr>
          <w:rFonts w:hint="eastAsia" w:ascii="仿宋_GB2312"/>
          <w:szCs w:val="32"/>
        </w:rPr>
        <w:t>2019年度，我单位无政府采购。</w:t>
      </w:r>
    </w:p>
    <w:p>
      <w:pPr>
        <w:spacing w:line="580" w:lineRule="exact"/>
        <w:ind w:firstLine="517" w:firstLineChars="161"/>
        <w:outlineLvl w:val="0"/>
        <w:rPr>
          <w:rFonts w:ascii="仿宋_GB2312"/>
          <w:szCs w:val="32"/>
        </w:rPr>
      </w:pPr>
      <w:r>
        <w:rPr>
          <w:rFonts w:hint="eastAsia" w:ascii="仿宋_GB2312"/>
          <w:b/>
          <w:szCs w:val="32"/>
        </w:rPr>
        <w:t>（三）国有资产占用情况说明</w:t>
      </w:r>
    </w:p>
    <w:p>
      <w:pPr>
        <w:spacing w:line="580" w:lineRule="exact"/>
        <w:ind w:firstLine="640"/>
        <w:rPr>
          <w:rFonts w:ascii="仿宋_GB2312"/>
          <w:szCs w:val="32"/>
        </w:rPr>
      </w:pPr>
      <w:r>
        <w:rPr>
          <w:rFonts w:hint="eastAsia" w:ascii="仿宋_GB2312"/>
          <w:szCs w:val="32"/>
        </w:rPr>
        <w:t>截至2019年12月31日，我单位无车辆。</w:t>
      </w:r>
    </w:p>
    <w:p>
      <w:pPr>
        <w:spacing w:line="580" w:lineRule="exact"/>
        <w:ind w:firstLine="517" w:firstLineChars="161"/>
        <w:outlineLvl w:val="0"/>
        <w:rPr>
          <w:rFonts w:ascii="仿宋_GB2312"/>
          <w:b/>
          <w:szCs w:val="32"/>
        </w:rPr>
      </w:pPr>
      <w:r>
        <w:rPr>
          <w:rFonts w:hint="eastAsia" w:ascii="仿宋_GB2312"/>
          <w:b/>
          <w:szCs w:val="32"/>
        </w:rPr>
        <w:t>（四）预算绩效情况说明</w:t>
      </w:r>
    </w:p>
    <w:p>
      <w:pPr>
        <w:spacing w:line="580" w:lineRule="exact"/>
        <w:ind w:firstLine="640"/>
        <w:rPr>
          <w:rFonts w:ascii="仿宋_GB2312"/>
          <w:szCs w:val="32"/>
        </w:rPr>
      </w:pPr>
      <w:r>
        <w:rPr>
          <w:rFonts w:hint="eastAsia" w:ascii="仿宋_GB2312"/>
          <w:szCs w:val="32"/>
        </w:rPr>
        <w:t>2019年度，我单位绩效管理的项目收支情况由主管部门襄汾县教育科技局统一填报。</w:t>
      </w:r>
    </w:p>
    <w:p>
      <w:pPr>
        <w:spacing w:line="580" w:lineRule="exact"/>
        <w:ind w:firstLine="517" w:firstLineChars="161"/>
        <w:outlineLvl w:val="0"/>
        <w:rPr>
          <w:rFonts w:ascii="仿宋_GB2312"/>
          <w:b/>
          <w:szCs w:val="32"/>
        </w:rPr>
      </w:pPr>
      <w:r>
        <w:rPr>
          <w:rFonts w:hint="eastAsia" w:ascii="仿宋_GB2312"/>
          <w:b/>
          <w:szCs w:val="32"/>
        </w:rPr>
        <w:t>（五）其他需要说明的事项</w:t>
      </w:r>
    </w:p>
    <w:p>
      <w:pPr>
        <w:spacing w:line="580" w:lineRule="exact"/>
        <w:ind w:firstLine="640"/>
        <w:rPr>
          <w:rFonts w:ascii="仿宋_GB2312"/>
          <w:szCs w:val="32"/>
        </w:rPr>
      </w:pPr>
      <w:r>
        <w:rPr>
          <w:rFonts w:hint="eastAsia" w:ascii="仿宋_GB2312"/>
          <w:szCs w:val="32"/>
        </w:rPr>
        <w:t>无。</w:t>
      </w:r>
    </w:p>
    <w:p>
      <w:pPr>
        <w:ind w:firstLine="640"/>
        <w:rPr>
          <w:rFonts w:ascii="黑体" w:hAnsi="黑体" w:eastAsia="黑体"/>
          <w:szCs w:val="32"/>
        </w:rPr>
      </w:pPr>
      <w:r>
        <w:rPr>
          <w:rFonts w:hint="eastAsia" w:ascii="黑体" w:hAnsi="黑体" w:eastAsia="黑体"/>
          <w:szCs w:val="32"/>
        </w:rPr>
        <w:t>第四部分  名词解释</w:t>
      </w:r>
    </w:p>
    <w:p>
      <w:pPr>
        <w:numPr>
          <w:ilvl w:val="0"/>
          <w:numId w:val="1"/>
        </w:numPr>
        <w:spacing w:line="580" w:lineRule="exact"/>
        <w:ind w:firstLineChars="0"/>
        <w:rPr>
          <w:rFonts w:ascii="仿宋_GB2312"/>
          <w:szCs w:val="32"/>
        </w:rPr>
      </w:pPr>
      <w:r>
        <w:rPr>
          <w:rFonts w:hint="eastAsia" w:ascii="仿宋_GB2312"/>
          <w:b/>
          <w:szCs w:val="32"/>
        </w:rPr>
        <w:t>财政拨款收入：</w:t>
      </w:r>
      <w:r>
        <w:rPr>
          <w:rFonts w:hint="eastAsia" w:ascii="仿宋_GB2312"/>
          <w:szCs w:val="32"/>
        </w:rPr>
        <w:t>指单位从同级财政单位取得的财政预</w:t>
      </w:r>
    </w:p>
    <w:p>
      <w:pPr>
        <w:spacing w:line="580" w:lineRule="exact"/>
        <w:ind w:firstLineChars="0"/>
        <w:rPr>
          <w:rFonts w:ascii="仿宋_GB2312"/>
          <w:szCs w:val="32"/>
        </w:rPr>
      </w:pPr>
      <w:r>
        <w:rPr>
          <w:rFonts w:hint="eastAsia" w:ascii="仿宋_GB2312"/>
          <w:szCs w:val="32"/>
        </w:rPr>
        <w:t>算资金。</w:t>
      </w:r>
    </w:p>
    <w:p>
      <w:pPr>
        <w:numPr>
          <w:ilvl w:val="0"/>
          <w:numId w:val="1"/>
        </w:numPr>
        <w:spacing w:line="580" w:lineRule="exact"/>
        <w:ind w:firstLineChars="0"/>
        <w:rPr>
          <w:rFonts w:ascii="仿宋_GB2312"/>
          <w:szCs w:val="32"/>
        </w:rPr>
      </w:pPr>
      <w:r>
        <w:rPr>
          <w:rFonts w:hint="eastAsia" w:ascii="仿宋_GB2312"/>
          <w:b/>
          <w:szCs w:val="32"/>
        </w:rPr>
        <w:t>事业收入：</w:t>
      </w:r>
      <w:r>
        <w:rPr>
          <w:rFonts w:hint="eastAsia" w:ascii="仿宋_GB2312"/>
          <w:szCs w:val="32"/>
        </w:rPr>
        <w:t>指事业单位开展专业业务活动及辅助活动</w:t>
      </w:r>
    </w:p>
    <w:p>
      <w:pPr>
        <w:spacing w:line="580" w:lineRule="exact"/>
        <w:ind w:firstLineChars="0"/>
        <w:rPr>
          <w:rFonts w:ascii="仿宋_GB2312"/>
          <w:szCs w:val="32"/>
        </w:rPr>
      </w:pPr>
      <w:r>
        <w:rPr>
          <w:rFonts w:hint="eastAsia" w:ascii="仿宋_GB2312"/>
          <w:szCs w:val="32"/>
        </w:rPr>
        <w:t>取得的收入。</w:t>
      </w:r>
    </w:p>
    <w:p>
      <w:pPr>
        <w:numPr>
          <w:ilvl w:val="0"/>
          <w:numId w:val="1"/>
        </w:numPr>
        <w:spacing w:line="580" w:lineRule="exact"/>
        <w:ind w:firstLineChars="0"/>
        <w:rPr>
          <w:rFonts w:ascii="仿宋_GB2312"/>
          <w:szCs w:val="32"/>
        </w:rPr>
      </w:pPr>
      <w:r>
        <w:rPr>
          <w:rFonts w:hint="eastAsia" w:ascii="仿宋_GB2312"/>
          <w:b/>
          <w:szCs w:val="32"/>
        </w:rPr>
        <w:t>经营收入：</w:t>
      </w:r>
      <w:r>
        <w:rPr>
          <w:rFonts w:hint="eastAsia" w:ascii="仿宋_GB2312"/>
          <w:szCs w:val="32"/>
        </w:rPr>
        <w:t>指事业单位在专业业务活动及其辅助活动</w:t>
      </w:r>
    </w:p>
    <w:p>
      <w:pPr>
        <w:spacing w:line="580" w:lineRule="exact"/>
        <w:ind w:firstLineChars="0"/>
        <w:rPr>
          <w:rFonts w:ascii="仿宋_GB2312"/>
          <w:szCs w:val="32"/>
        </w:rPr>
      </w:pPr>
      <w:r>
        <w:rPr>
          <w:rFonts w:hint="eastAsia" w:ascii="仿宋_GB2312"/>
          <w:szCs w:val="32"/>
        </w:rPr>
        <w:t>之外开展非独立核算经营活动取得的收入。</w:t>
      </w:r>
    </w:p>
    <w:p>
      <w:pPr>
        <w:numPr>
          <w:ilvl w:val="0"/>
          <w:numId w:val="1"/>
        </w:numPr>
        <w:spacing w:line="580" w:lineRule="exact"/>
        <w:ind w:firstLineChars="0"/>
        <w:rPr>
          <w:rFonts w:ascii="仿宋_GB2312"/>
          <w:szCs w:val="32"/>
        </w:rPr>
      </w:pPr>
      <w:r>
        <w:rPr>
          <w:rFonts w:hint="eastAsia" w:ascii="仿宋_GB2312"/>
          <w:b/>
          <w:szCs w:val="32"/>
        </w:rPr>
        <w:t>其他收入：</w:t>
      </w:r>
      <w:r>
        <w:rPr>
          <w:rFonts w:hint="eastAsia" w:ascii="仿宋_GB2312"/>
          <w:szCs w:val="32"/>
        </w:rPr>
        <w:t>指单位取得的除上述收入以外的各项收</w:t>
      </w:r>
    </w:p>
    <w:p>
      <w:pPr>
        <w:spacing w:line="580" w:lineRule="exact"/>
        <w:ind w:firstLineChars="0"/>
        <w:rPr>
          <w:rFonts w:ascii="仿宋_GB2312"/>
          <w:szCs w:val="32"/>
        </w:rPr>
      </w:pPr>
      <w:r>
        <w:rPr>
          <w:rFonts w:hint="eastAsia" w:ascii="仿宋_GB2312"/>
          <w:szCs w:val="32"/>
        </w:rPr>
        <w:t>入。主要是按规定动用的售房收入、存款利息收入等。</w:t>
      </w:r>
    </w:p>
    <w:p>
      <w:pPr>
        <w:numPr>
          <w:ilvl w:val="0"/>
          <w:numId w:val="1"/>
        </w:numPr>
        <w:spacing w:line="580" w:lineRule="exact"/>
        <w:ind w:firstLineChars="0"/>
        <w:rPr>
          <w:rFonts w:ascii="仿宋_GB2312"/>
          <w:szCs w:val="32"/>
        </w:rPr>
      </w:pPr>
      <w:r>
        <w:rPr>
          <w:rFonts w:hint="eastAsia" w:ascii="仿宋_GB2312"/>
          <w:b/>
          <w:szCs w:val="32"/>
        </w:rPr>
        <w:t>年初结转和结余：</w:t>
      </w:r>
      <w:r>
        <w:rPr>
          <w:rFonts w:hint="eastAsia" w:ascii="仿宋_GB2312"/>
          <w:szCs w:val="32"/>
        </w:rPr>
        <w:t>指单位以前年度尚未完成、结转到</w:t>
      </w:r>
    </w:p>
    <w:p>
      <w:pPr>
        <w:spacing w:line="580" w:lineRule="exact"/>
        <w:ind w:firstLineChars="0"/>
        <w:rPr>
          <w:rFonts w:ascii="仿宋_GB2312"/>
          <w:szCs w:val="32"/>
        </w:rPr>
      </w:pPr>
      <w:r>
        <w:rPr>
          <w:rFonts w:hint="eastAsia" w:ascii="仿宋_GB2312"/>
          <w:szCs w:val="32"/>
        </w:rPr>
        <w:t>本年按有关规定继续使用的资金。</w:t>
      </w:r>
    </w:p>
    <w:p>
      <w:pPr>
        <w:numPr>
          <w:ilvl w:val="0"/>
          <w:numId w:val="1"/>
        </w:numPr>
        <w:spacing w:line="580" w:lineRule="exact"/>
        <w:ind w:firstLineChars="0"/>
        <w:rPr>
          <w:rFonts w:ascii="仿宋_GB2312"/>
          <w:b/>
          <w:szCs w:val="32"/>
        </w:rPr>
      </w:pPr>
      <w:r>
        <w:rPr>
          <w:rFonts w:hint="eastAsia" w:ascii="仿宋_GB2312"/>
          <w:b/>
          <w:szCs w:val="32"/>
        </w:rPr>
        <w:t>基本支出：</w:t>
      </w:r>
      <w:r>
        <w:rPr>
          <w:rFonts w:hint="eastAsia" w:ascii="仿宋_GB2312"/>
          <w:szCs w:val="32"/>
        </w:rPr>
        <w:t>指为保障机构正常运转、完成日常工作任</w:t>
      </w:r>
    </w:p>
    <w:p>
      <w:pPr>
        <w:spacing w:line="580" w:lineRule="exact"/>
        <w:ind w:firstLineChars="0"/>
        <w:rPr>
          <w:rFonts w:ascii="仿宋_GB2312"/>
          <w:b/>
          <w:szCs w:val="32"/>
        </w:rPr>
      </w:pPr>
      <w:r>
        <w:rPr>
          <w:rFonts w:hint="eastAsia" w:ascii="仿宋_GB2312"/>
          <w:szCs w:val="32"/>
        </w:rPr>
        <w:t>务而发生的人员支出和公用支出。</w:t>
      </w:r>
    </w:p>
    <w:p>
      <w:pPr>
        <w:autoSpaceDE w:val="0"/>
        <w:autoSpaceDN w:val="0"/>
        <w:adjustRightInd w:val="0"/>
        <w:ind w:firstLine="630" w:firstLineChars="196"/>
        <w:rPr>
          <w:rFonts w:ascii="仿宋_GB2312"/>
          <w:szCs w:val="32"/>
        </w:rPr>
      </w:pPr>
      <w:r>
        <w:rPr>
          <w:rFonts w:hint="eastAsia" w:ascii="仿宋_GB2312"/>
          <w:b/>
          <w:szCs w:val="32"/>
        </w:rPr>
        <w:t>七、项目支出：</w:t>
      </w:r>
      <w:r>
        <w:rPr>
          <w:rFonts w:hint="eastAsia" w:ascii="仿宋_GB2312"/>
          <w:szCs w:val="32"/>
        </w:rPr>
        <w:t>指在基本支出之外为完成特定行政任务和事业发展目标所发生的支出。</w:t>
      </w:r>
    </w:p>
    <w:p>
      <w:pPr>
        <w:autoSpaceDE w:val="0"/>
        <w:autoSpaceDN w:val="0"/>
        <w:adjustRightInd w:val="0"/>
        <w:ind w:firstLine="630" w:firstLineChars="196"/>
        <w:rPr>
          <w:rFonts w:ascii="仿宋_GB2312"/>
          <w:szCs w:val="32"/>
        </w:rPr>
      </w:pPr>
      <w:r>
        <w:rPr>
          <w:rFonts w:hint="eastAsia" w:ascii="仿宋_GB2312"/>
          <w:b/>
          <w:szCs w:val="32"/>
        </w:rPr>
        <w:t>八、“三公”经费：</w:t>
      </w:r>
      <w:r>
        <w:rPr>
          <w:rFonts w:hint="eastAsia" w:ascii="仿宋_GB2312"/>
          <w:szCs w:val="32"/>
        </w:rPr>
        <w:t>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val="0"/>
        <w:autoSpaceDN w:val="0"/>
        <w:adjustRightInd w:val="0"/>
        <w:ind w:firstLine="643"/>
        <w:rPr>
          <w:rFonts w:ascii="仿宋_GB2312"/>
          <w:szCs w:val="32"/>
        </w:rPr>
      </w:pPr>
      <w:r>
        <w:rPr>
          <w:rFonts w:hint="eastAsia" w:ascii="仿宋_GB2312"/>
          <w:b/>
          <w:szCs w:val="32"/>
        </w:rPr>
        <w:t>九、机关运行经费：</w:t>
      </w:r>
      <w:r>
        <w:rPr>
          <w:rFonts w:hint="eastAsia" w:ascii="仿宋_GB2312"/>
          <w:szCs w:val="32"/>
        </w:rPr>
        <w:t>指行政单位和参照公务员法管理的事业单位使用一般公共预算安排的基本支出中的日常公用经费支出。</w:t>
      </w:r>
    </w:p>
    <w:p>
      <w:pPr>
        <w:spacing w:line="580" w:lineRule="exact"/>
        <w:ind w:firstLine="643"/>
        <w:outlineLvl w:val="0"/>
        <w:rPr>
          <w:rFonts w:ascii="仿宋_GB2312"/>
          <w:b/>
          <w:bCs/>
          <w:szCs w:val="32"/>
        </w:rPr>
      </w:pPr>
      <w:r>
        <w:rPr>
          <w:rFonts w:hint="eastAsia" w:ascii="仿宋_GB2312"/>
          <w:b/>
          <w:bCs/>
          <w:szCs w:val="32"/>
        </w:rPr>
        <w:t>十、其他需要说明名词解释。</w:t>
      </w:r>
    </w:p>
    <w:p>
      <w:pPr>
        <w:pStyle w:val="2"/>
        <w:ind w:left="0" w:leftChars="0" w:firstLine="640"/>
      </w:pPr>
      <w:r>
        <w:rPr>
          <w:rFonts w:hint="eastAsia"/>
        </w:rPr>
        <w:t>无。</w:t>
      </w:r>
    </w:p>
    <w:sectPr>
      <w:headerReference r:id="rId7" w:type="first"/>
      <w:footerReference r:id="rId10" w:type="first"/>
      <w:headerReference r:id="rId5" w:type="default"/>
      <w:footerReference r:id="rId8" w:type="default"/>
      <w:headerReference r:id="rId6" w:type="even"/>
      <w:footerReference r:id="rId9" w:type="even"/>
      <w:pgSz w:w="12240" w:h="15840"/>
      <w:pgMar w:top="1440" w:right="1800" w:bottom="1440" w:left="1800" w:header="567"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altName w:val="方正楷体_GBK"/>
    <w:panose1 w:val="00000000000000000000"/>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D25D65"/>
    <w:multiLevelType w:val="multilevel"/>
    <w:tmpl w:val="53D25D65"/>
    <w:lvl w:ilvl="0" w:tentative="0">
      <w:start w:val="1"/>
      <w:numFmt w:val="japaneseCounting"/>
      <w:lvlText w:val="%1、"/>
      <w:lvlJc w:val="left"/>
      <w:pPr>
        <w:tabs>
          <w:tab w:val="left" w:pos="1395"/>
        </w:tabs>
        <w:ind w:left="1395" w:hanging="720"/>
      </w:pPr>
      <w:rPr>
        <w:rFonts w:hint="default"/>
        <w:b/>
      </w:rPr>
    </w:lvl>
    <w:lvl w:ilvl="1" w:tentative="0">
      <w:start w:val="1"/>
      <w:numFmt w:val="lowerLetter"/>
      <w:lvlText w:val="%2)"/>
      <w:lvlJc w:val="left"/>
      <w:pPr>
        <w:tabs>
          <w:tab w:val="left" w:pos="1515"/>
        </w:tabs>
        <w:ind w:left="1515" w:hanging="420"/>
      </w:pPr>
    </w:lvl>
    <w:lvl w:ilvl="2" w:tentative="0">
      <w:start w:val="1"/>
      <w:numFmt w:val="lowerRoman"/>
      <w:lvlText w:val="%3."/>
      <w:lvlJc w:val="right"/>
      <w:pPr>
        <w:tabs>
          <w:tab w:val="left" w:pos="1935"/>
        </w:tabs>
        <w:ind w:left="1935" w:hanging="420"/>
      </w:pPr>
    </w:lvl>
    <w:lvl w:ilvl="3" w:tentative="0">
      <w:start w:val="1"/>
      <w:numFmt w:val="decimal"/>
      <w:lvlText w:val="%4."/>
      <w:lvlJc w:val="left"/>
      <w:pPr>
        <w:tabs>
          <w:tab w:val="left" w:pos="2355"/>
        </w:tabs>
        <w:ind w:left="2355" w:hanging="420"/>
      </w:pPr>
    </w:lvl>
    <w:lvl w:ilvl="4" w:tentative="0">
      <w:start w:val="1"/>
      <w:numFmt w:val="lowerLetter"/>
      <w:lvlText w:val="%5)"/>
      <w:lvlJc w:val="left"/>
      <w:pPr>
        <w:tabs>
          <w:tab w:val="left" w:pos="2775"/>
        </w:tabs>
        <w:ind w:left="2775" w:hanging="420"/>
      </w:pPr>
    </w:lvl>
    <w:lvl w:ilvl="5" w:tentative="0">
      <w:start w:val="1"/>
      <w:numFmt w:val="lowerRoman"/>
      <w:lvlText w:val="%6."/>
      <w:lvlJc w:val="right"/>
      <w:pPr>
        <w:tabs>
          <w:tab w:val="left" w:pos="3195"/>
        </w:tabs>
        <w:ind w:left="3195" w:hanging="420"/>
      </w:pPr>
    </w:lvl>
    <w:lvl w:ilvl="6" w:tentative="0">
      <w:start w:val="1"/>
      <w:numFmt w:val="decimal"/>
      <w:lvlText w:val="%7."/>
      <w:lvlJc w:val="left"/>
      <w:pPr>
        <w:tabs>
          <w:tab w:val="left" w:pos="3615"/>
        </w:tabs>
        <w:ind w:left="3615" w:hanging="420"/>
      </w:pPr>
    </w:lvl>
    <w:lvl w:ilvl="7" w:tentative="0">
      <w:start w:val="1"/>
      <w:numFmt w:val="lowerLetter"/>
      <w:lvlText w:val="%8)"/>
      <w:lvlJc w:val="left"/>
      <w:pPr>
        <w:tabs>
          <w:tab w:val="left" w:pos="4035"/>
        </w:tabs>
        <w:ind w:left="4035" w:hanging="420"/>
      </w:pPr>
    </w:lvl>
    <w:lvl w:ilvl="8" w:tentative="0">
      <w:start w:val="1"/>
      <w:numFmt w:val="lowerRoman"/>
      <w:lvlText w:val="%9."/>
      <w:lvlJc w:val="right"/>
      <w:pPr>
        <w:tabs>
          <w:tab w:val="left" w:pos="4455"/>
        </w:tabs>
        <w:ind w:left="44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true"/>
  <w:bordersDoNotSurroundFooter w:val="true"/>
  <w:doNotTrackMoves/>
  <w:documentProtection w:enforcement="0"/>
  <w:defaultTabStop w:val="420"/>
  <w:drawingGridHorizontalSpacing w:val="160"/>
  <w:drawingGridVerticalSpacing w:val="43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7A48"/>
    <w:rsid w:val="0002537E"/>
    <w:rsid w:val="000D51B9"/>
    <w:rsid w:val="001021AC"/>
    <w:rsid w:val="001102F9"/>
    <w:rsid w:val="001122B3"/>
    <w:rsid w:val="001306D8"/>
    <w:rsid w:val="00172A27"/>
    <w:rsid w:val="001B1093"/>
    <w:rsid w:val="001F1905"/>
    <w:rsid w:val="002220DC"/>
    <w:rsid w:val="00290283"/>
    <w:rsid w:val="002A0BC3"/>
    <w:rsid w:val="002D51A9"/>
    <w:rsid w:val="002E0C28"/>
    <w:rsid w:val="003175A8"/>
    <w:rsid w:val="003307F8"/>
    <w:rsid w:val="003476A9"/>
    <w:rsid w:val="003B30E1"/>
    <w:rsid w:val="003B68C8"/>
    <w:rsid w:val="00431034"/>
    <w:rsid w:val="004415DE"/>
    <w:rsid w:val="00456524"/>
    <w:rsid w:val="0047210D"/>
    <w:rsid w:val="004878DC"/>
    <w:rsid w:val="00493632"/>
    <w:rsid w:val="00493A36"/>
    <w:rsid w:val="00495578"/>
    <w:rsid w:val="004F1052"/>
    <w:rsid w:val="00504C26"/>
    <w:rsid w:val="00562A59"/>
    <w:rsid w:val="005656C1"/>
    <w:rsid w:val="005947FF"/>
    <w:rsid w:val="00596252"/>
    <w:rsid w:val="005B7303"/>
    <w:rsid w:val="005C096E"/>
    <w:rsid w:val="00600DBD"/>
    <w:rsid w:val="00630C43"/>
    <w:rsid w:val="006525F9"/>
    <w:rsid w:val="006A07AE"/>
    <w:rsid w:val="006B7B2C"/>
    <w:rsid w:val="006C3727"/>
    <w:rsid w:val="006C3A94"/>
    <w:rsid w:val="006C68CC"/>
    <w:rsid w:val="006D41F5"/>
    <w:rsid w:val="007015A6"/>
    <w:rsid w:val="00732828"/>
    <w:rsid w:val="00740ADC"/>
    <w:rsid w:val="00751F5C"/>
    <w:rsid w:val="007A5424"/>
    <w:rsid w:val="007A79C8"/>
    <w:rsid w:val="007C1DD7"/>
    <w:rsid w:val="008159CB"/>
    <w:rsid w:val="00840C64"/>
    <w:rsid w:val="008460A0"/>
    <w:rsid w:val="00856E5A"/>
    <w:rsid w:val="00863E5C"/>
    <w:rsid w:val="00867C8D"/>
    <w:rsid w:val="008C2196"/>
    <w:rsid w:val="008E2202"/>
    <w:rsid w:val="00965494"/>
    <w:rsid w:val="009953B4"/>
    <w:rsid w:val="009B4A69"/>
    <w:rsid w:val="009C07A7"/>
    <w:rsid w:val="009C2C98"/>
    <w:rsid w:val="009D09D2"/>
    <w:rsid w:val="009D4716"/>
    <w:rsid w:val="009D7732"/>
    <w:rsid w:val="009E3382"/>
    <w:rsid w:val="009E387C"/>
    <w:rsid w:val="00A536B7"/>
    <w:rsid w:val="00A74AD6"/>
    <w:rsid w:val="00AD7988"/>
    <w:rsid w:val="00B565BE"/>
    <w:rsid w:val="00B673D5"/>
    <w:rsid w:val="00B853D4"/>
    <w:rsid w:val="00B90D66"/>
    <w:rsid w:val="00BB4161"/>
    <w:rsid w:val="00BB4E18"/>
    <w:rsid w:val="00BE3714"/>
    <w:rsid w:val="00C00DC6"/>
    <w:rsid w:val="00C07D6B"/>
    <w:rsid w:val="00C64004"/>
    <w:rsid w:val="00C7781F"/>
    <w:rsid w:val="00CA7A84"/>
    <w:rsid w:val="00CB349D"/>
    <w:rsid w:val="00CE4C5E"/>
    <w:rsid w:val="00CF60C8"/>
    <w:rsid w:val="00D32B12"/>
    <w:rsid w:val="00D950FF"/>
    <w:rsid w:val="00D95376"/>
    <w:rsid w:val="00E47C6D"/>
    <w:rsid w:val="00E5451D"/>
    <w:rsid w:val="00E9504E"/>
    <w:rsid w:val="00F062E5"/>
    <w:rsid w:val="00F17BFD"/>
    <w:rsid w:val="00F31D3A"/>
    <w:rsid w:val="00F3354C"/>
    <w:rsid w:val="00F471FE"/>
    <w:rsid w:val="00F53301"/>
    <w:rsid w:val="00F574BD"/>
    <w:rsid w:val="00F848BE"/>
    <w:rsid w:val="00FA0DBD"/>
    <w:rsid w:val="00FA68F5"/>
    <w:rsid w:val="00FD36C7"/>
    <w:rsid w:val="00FF52B8"/>
    <w:rsid w:val="023A5A3F"/>
    <w:rsid w:val="04E20719"/>
    <w:rsid w:val="060B050E"/>
    <w:rsid w:val="06841958"/>
    <w:rsid w:val="078512D7"/>
    <w:rsid w:val="07B869B5"/>
    <w:rsid w:val="0956737E"/>
    <w:rsid w:val="096167FE"/>
    <w:rsid w:val="0AAC61FB"/>
    <w:rsid w:val="0E0B7B4A"/>
    <w:rsid w:val="0E4D5F08"/>
    <w:rsid w:val="0F1A53EB"/>
    <w:rsid w:val="10BA7ACB"/>
    <w:rsid w:val="10D92D32"/>
    <w:rsid w:val="120B22F0"/>
    <w:rsid w:val="12E5029A"/>
    <w:rsid w:val="1723733D"/>
    <w:rsid w:val="194C7A68"/>
    <w:rsid w:val="1A2745FD"/>
    <w:rsid w:val="1AC743F7"/>
    <w:rsid w:val="1F3F5E3A"/>
    <w:rsid w:val="262171FF"/>
    <w:rsid w:val="269A113C"/>
    <w:rsid w:val="28202D99"/>
    <w:rsid w:val="28212101"/>
    <w:rsid w:val="28743326"/>
    <w:rsid w:val="2B35227D"/>
    <w:rsid w:val="2E061742"/>
    <w:rsid w:val="2E8F2075"/>
    <w:rsid w:val="305422AF"/>
    <w:rsid w:val="30F017B5"/>
    <w:rsid w:val="37A139B5"/>
    <w:rsid w:val="385D1389"/>
    <w:rsid w:val="3BCE5D98"/>
    <w:rsid w:val="3EBC521D"/>
    <w:rsid w:val="4104646B"/>
    <w:rsid w:val="44673A49"/>
    <w:rsid w:val="46081471"/>
    <w:rsid w:val="467809D3"/>
    <w:rsid w:val="470402D5"/>
    <w:rsid w:val="476E7B37"/>
    <w:rsid w:val="50A82BE8"/>
    <w:rsid w:val="50D77808"/>
    <w:rsid w:val="529A599D"/>
    <w:rsid w:val="55782040"/>
    <w:rsid w:val="563D420C"/>
    <w:rsid w:val="590E0CF8"/>
    <w:rsid w:val="5B827E19"/>
    <w:rsid w:val="5C213AA1"/>
    <w:rsid w:val="5C734866"/>
    <w:rsid w:val="5DAF23A1"/>
    <w:rsid w:val="606F735B"/>
    <w:rsid w:val="617F1BCB"/>
    <w:rsid w:val="630B7AD8"/>
    <w:rsid w:val="65506FD5"/>
    <w:rsid w:val="680441B6"/>
    <w:rsid w:val="680555A8"/>
    <w:rsid w:val="694620C7"/>
    <w:rsid w:val="6C706566"/>
    <w:rsid w:val="6C822CEF"/>
    <w:rsid w:val="6F0B1E4D"/>
    <w:rsid w:val="6F517A61"/>
    <w:rsid w:val="71F47B61"/>
    <w:rsid w:val="72F27EF3"/>
    <w:rsid w:val="75594190"/>
    <w:rsid w:val="75C129F8"/>
    <w:rsid w:val="77DBA297"/>
    <w:rsid w:val="79DB446E"/>
    <w:rsid w:val="79DC3C56"/>
    <w:rsid w:val="7AD351DA"/>
    <w:rsid w:val="7AE24FF0"/>
    <w:rsid w:val="7AFE1327"/>
    <w:rsid w:val="7CF3529A"/>
    <w:rsid w:val="7D470BE6"/>
    <w:rsid w:val="7FA85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Document Map"/>
    <w:basedOn w:val="1"/>
    <w:semiHidden/>
    <w:qFormat/>
    <w:uiPriority w:val="0"/>
    <w:pPr>
      <w:shd w:val="clear" w:color="auto" w:fill="000080"/>
    </w:pPr>
  </w:style>
  <w:style w:type="paragraph" w:styleId="4">
    <w:name w:val="Balloon Text"/>
    <w:basedOn w:val="1"/>
    <w:link w:val="9"/>
    <w:qFormat/>
    <w:uiPriority w:val="0"/>
    <w:pPr>
      <w:spacing w:line="240" w:lineRule="auto"/>
    </w:pPr>
    <w:rPr>
      <w:sz w:val="18"/>
      <w:szCs w:val="18"/>
    </w:rPr>
  </w:style>
  <w:style w:type="paragraph" w:styleId="5">
    <w:name w:val="footer"/>
    <w:basedOn w:val="1"/>
    <w:link w:val="11"/>
    <w:qFormat/>
    <w:uiPriority w:val="0"/>
    <w:pPr>
      <w:tabs>
        <w:tab w:val="center" w:pos="4153"/>
        <w:tab w:val="right" w:pos="8306"/>
      </w:tabs>
      <w:snapToGrid w:val="0"/>
      <w:spacing w:line="240" w:lineRule="atLeast"/>
      <w:jc w:val="left"/>
    </w:pPr>
    <w:rPr>
      <w:sz w:val="18"/>
      <w:szCs w:val="18"/>
    </w:rPr>
  </w:style>
  <w:style w:type="paragraph" w:styleId="6">
    <w:name w:val="header"/>
    <w:basedOn w:val="1"/>
    <w:link w:val="10"/>
    <w:qFormat/>
    <w:uiPriority w:val="0"/>
    <w:pPr>
      <w:tabs>
        <w:tab w:val="center" w:pos="4153"/>
        <w:tab w:val="right" w:pos="8306"/>
      </w:tabs>
      <w:snapToGrid w:val="0"/>
      <w:spacing w:line="240" w:lineRule="atLeast"/>
      <w:jc w:val="center"/>
    </w:pPr>
    <w:rPr>
      <w:sz w:val="18"/>
      <w:szCs w:val="18"/>
    </w:rPr>
  </w:style>
  <w:style w:type="character" w:customStyle="1" w:styleId="9">
    <w:name w:val="批注框文本 Char"/>
    <w:link w:val="4"/>
    <w:qFormat/>
    <w:uiPriority w:val="0"/>
    <w:rPr>
      <w:rFonts w:ascii="Times New Roman" w:hAnsi="Times New Roman" w:eastAsia="仿宋_GB2312"/>
      <w:kern w:val="2"/>
      <w:sz w:val="18"/>
      <w:szCs w:val="18"/>
    </w:rPr>
  </w:style>
  <w:style w:type="character" w:customStyle="1" w:styleId="10">
    <w:name w:val="页眉 Char"/>
    <w:link w:val="6"/>
    <w:qFormat/>
    <w:uiPriority w:val="0"/>
    <w:rPr>
      <w:rFonts w:ascii="Times New Roman" w:hAnsi="Times New Roman" w:eastAsia="仿宋_GB2312"/>
      <w:kern w:val="2"/>
      <w:sz w:val="18"/>
      <w:szCs w:val="18"/>
    </w:rPr>
  </w:style>
  <w:style w:type="character" w:customStyle="1" w:styleId="11">
    <w:name w:val="页脚 Char"/>
    <w:link w:val="5"/>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400</Words>
  <Characters>2281</Characters>
  <Lines>19</Lines>
  <Paragraphs>5</Paragraphs>
  <TotalTime>31</TotalTime>
  <ScaleCrop>false</ScaleCrop>
  <LinksUpToDate>false</LinksUpToDate>
  <CharactersWithSpaces>2676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2020-10-10T21:45:00Z</dcterms:created>
  <dc:creator>1</dc:creator>
  <cp:lastModifiedBy>kylin</cp:lastModifiedBy>
  <cp:lastPrinted>2021-05-27T16:11:00Z</cp:lastPrinted>
  <dcterms:modified xsi:type="dcterms:W3CDTF">2025-02-14T10:57:03Z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